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41"/>
        <w:ind w:firstLine="300"/>
        <w:spacing w:line="360" w:lineRule="auto"/>
        <w:rPr>
          <w:color w:val="000000"/>
          <w:sz w:val="60"/>
          <w:szCs w:val="60"/>
          <w:highlight w:val="none"/>
        </w:rPr>
      </w:pPr>
      <w:r>
        <w:rPr>
          <w:color w:val="000000"/>
          <w:sz w:val="60"/>
          <w:szCs w:val="60"/>
          <w:highlight w:val="none"/>
        </w:rPr>
      </w:r>
      <w:r/>
    </w:p>
    <w:p>
      <w:pPr>
        <w:pStyle w:val="1041"/>
        <w:jc w:val="center"/>
        <w:rPr>
          <w:rFonts w:hint="eastAsia"/>
          <w:b/>
          <w:bCs/>
          <w:color w:val="000000"/>
          <w:sz w:val="60"/>
          <w:szCs w:val="60"/>
          <w:highlight w:val="none"/>
        </w:rPr>
      </w:pPr>
      <w:r>
        <w:rPr>
          <w:rFonts w:hint="eastAsia"/>
          <w:b/>
          <w:bCs/>
          <w:color w:val="000000"/>
          <w:sz w:val="60"/>
          <w:szCs w:val="60"/>
          <w:highlight w:val="none"/>
        </w:rPr>
        <w:t xml:space="preserve">常州机电职业技术学院善学楼（东教学楼）升级改造项目</w:t>
      </w:r>
      <w:r>
        <w:rPr>
          <w:rFonts w:hint="eastAsia"/>
          <w:b/>
          <w:bCs/>
          <w:color w:val="000000"/>
          <w:sz w:val="60"/>
          <w:szCs w:val="60"/>
          <w:highlight w:val="none"/>
        </w:rPr>
      </w:r>
      <w:r/>
    </w:p>
    <w:p>
      <w:pPr>
        <w:pStyle w:val="1041"/>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ind w:left="2832" w:hanging="1900"/>
        <w:jc w:val="left"/>
        <w:spacing w:line="360" w:lineRule="auto"/>
        <w:tabs>
          <w:tab w:val="left" w:pos="5609"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常州机电职业技术学院善学楼（东教学楼）升级改造项目</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JSZC-320400-QGZB-C2026-0001</w:t>
      </w:r>
      <w:r>
        <w:rPr>
          <w:rFonts w:hint="eastAsia" w:eastAsia="宋体"/>
          <w:bCs/>
          <w:color w:val="000000"/>
          <w:sz w:val="36"/>
          <w:szCs w:val="36"/>
          <w:highlight w:val="none"/>
          <w:lang w:eastAsia="zh-CN"/>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常州机电职业技术学院</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常州青果招投标有限公司</w:t>
      </w:r>
      <w:r>
        <w:rPr>
          <w:rFonts w:hint="eastAsia"/>
          <w:bCs/>
          <w:color w:val="000000"/>
          <w:sz w:val="36"/>
          <w:szCs w:val="36"/>
          <w:highlight w:val="none"/>
        </w:rPr>
      </w:r>
      <w:r/>
    </w:p>
    <w:p>
      <w:pPr>
        <w:pStyle w:val="1041"/>
        <w:ind w:left="2833" w:hanging="1901"/>
        <w:jc w:val="center"/>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
          <w:bCs/>
          <w:color w:val="000000"/>
          <w:sz w:val="36"/>
          <w:szCs w:val="36"/>
          <w:highlight w:val="none"/>
        </w:rPr>
        <w:t xml:space="preserve">二零二六</w:t>
      </w:r>
      <w:r>
        <w:rPr>
          <w:rFonts w:hint="eastAsia" w:ascii="宋体" w:hAnsi="宋体" w:cs="宋体"/>
          <w:b/>
          <w:bCs/>
          <w:color w:val="000000"/>
          <w:sz w:val="36"/>
          <w:szCs w:val="36"/>
          <w:highlight w:val="none"/>
          <w:lang w:val="zh-CN"/>
        </w:rPr>
        <w:t xml:space="preserve">年</w:t>
      </w:r>
      <w:r>
        <w:rPr>
          <w:rFonts w:hint="eastAsia" w:ascii="宋体" w:hAnsi="宋体" w:cs="宋体"/>
          <w:b/>
          <w:bCs/>
          <w:color w:val="000000"/>
          <w:sz w:val="36"/>
          <w:szCs w:val="36"/>
          <w:highlight w:val="none"/>
        </w:rPr>
        <w:t xml:space="preserve">五</w:t>
      </w:r>
      <w:r>
        <w:rPr>
          <w:rFonts w:hint="eastAsia" w:ascii="宋体" w:hAnsi="宋体" w:cs="宋体"/>
          <w:b/>
          <w:bCs/>
          <w:color w:val="000000"/>
          <w:sz w:val="36"/>
          <w:szCs w:val="36"/>
          <w:highlight w:val="none"/>
          <w:lang w:val="zh-CN"/>
        </w:rPr>
        <w:t xml:space="preserve">月</w:t>
      </w:r>
      <w:r>
        <w:rPr>
          <w:rFonts w:hint="eastAsia" w:ascii="宋体" w:hAnsi="宋体" w:cs="宋体"/>
          <w:bCs/>
          <w:color w:val="000000"/>
          <w:sz w:val="36"/>
          <w:szCs w:val="36"/>
          <w:highlight w:val="none"/>
        </w:rPr>
      </w:r>
      <w:r/>
    </w:p>
    <w:p>
      <w:pPr>
        <w:pStyle w:val="1041"/>
        <w:jc w:val="center"/>
        <w:spacing w:before="100" w:after="240" w:line="500" w:lineRule="exact"/>
        <w:rPr>
          <w:b/>
          <w:bCs/>
          <w:color w:val="000000"/>
          <w:sz w:val="44"/>
          <w:highlight w:val="none"/>
        </w:rPr>
      </w:pPr>
      <w:r>
        <w:rPr>
          <w:b/>
          <w:bCs/>
          <w:color w:val="000000"/>
          <w:sz w:val="44"/>
          <w:highlight w:val="none"/>
        </w:rPr>
        <w:br w:type="page" w:clear="all"/>
      </w:r>
      <w:bookmarkStart w:id="0" w:name="_Toc104818924"/>
      <w:r>
        <w:rPr>
          <w:b/>
          <w:bCs/>
          <w:color w:val="000000"/>
          <w:sz w:val="44"/>
          <w:highlight w:val="none"/>
        </w:rPr>
      </w:r>
      <w:r/>
    </w:p>
    <w:p>
      <w:pPr>
        <w:pStyle w:val="1041"/>
        <w:jc w:val="center"/>
        <w:spacing w:before="100" w:after="240" w:line="50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bookmarkEnd w:id="0"/>
      <w:r>
        <w:rPr>
          <w:rFonts w:hint="eastAsia" w:ascii="宋体" w:hAnsi="宋体" w:cs="宋体"/>
          <w:b/>
          <w:color w:val="000000"/>
          <w:sz w:val="44"/>
          <w:szCs w:val="44"/>
          <w:highlight w:val="none"/>
        </w:rPr>
      </w:r>
      <w:r/>
    </w:p>
    <w:p>
      <w:pPr>
        <w:pStyle w:val="1041"/>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94"/>
        <w:tabs>
          <w:tab w:val="right" w:pos="9747" w:leader="dot"/>
        </w:tabs>
        <w:rPr>
          <w:color w:val="000000"/>
          <w:highlight w:val="none"/>
        </w:rPr>
      </w:pPr>
      <w:r>
        <w:rPr>
          <w:rStyle w:val="1118"/>
          <w:rFonts w:hint="eastAsia" w:cs="宋体"/>
          <w:color w:val="000000"/>
          <w:sz w:val="32"/>
          <w:szCs w:val="32"/>
          <w:highlight w:val="none"/>
        </w:rPr>
        <w:fldChar w:fldCharType="begin"/>
      </w:r>
      <w:r>
        <w:rPr>
          <w:rStyle w:val="1118"/>
          <w:rFonts w:hint="eastAsia" w:cs="宋体"/>
          <w:color w:val="000000"/>
          <w:sz w:val="32"/>
          <w:szCs w:val="32"/>
          <w:highlight w:val="none"/>
        </w:rPr>
        <w:instrText xml:space="preserve">TOC \o "1-1" \h \u </w:instrText>
      </w:r>
      <w:r>
        <w:rPr>
          <w:rStyle w:val="1118"/>
          <w:rFonts w:hint="eastAsia" w:cs="宋体"/>
          <w:color w:val="000000"/>
          <w:sz w:val="32"/>
          <w:szCs w:val="32"/>
          <w:highlight w:val="none"/>
        </w:rPr>
        <w:fldChar w:fldCharType="separate"/>
      </w:r>
      <w:r>
        <w:rPr>
          <w:rFonts w:hint="eastAsia" w:cs="宋体"/>
          <w:color w:val="000000"/>
          <w:szCs w:val="32"/>
          <w:highlight w:val="none"/>
        </w:rPr>
        <w:fldChar w:fldCharType="begin"/>
      </w:r>
      <w:r>
        <w:rPr>
          <w:rFonts w:hint="eastAsia" w:cs="宋体"/>
          <w:color w:val="000000"/>
          <w:szCs w:val="32"/>
          <w:highlight w:val="none"/>
        </w:rPr>
        <w:instrText xml:space="preserve"> HYPERLINK \l _Toc23887 </w:instrText>
      </w:r>
      <w:r>
        <w:rPr>
          <w:rFonts w:hint="eastAsia" w:cs="宋体"/>
          <w:color w:val="000000"/>
          <w:szCs w:val="32"/>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_Toc23887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_Toc29824 </w:instrText>
      </w:r>
      <w:r>
        <w:rPr>
          <w:rFonts w:hint="eastAsia" w:cs="宋体"/>
          <w:color w:val="000000"/>
          <w:szCs w:val="32"/>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_Toc29824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_Toc25458 </w:instrText>
      </w:r>
      <w:r>
        <w:rPr>
          <w:rFonts w:hint="eastAsia" w:cs="宋体"/>
          <w:color w:val="000000"/>
          <w:szCs w:val="32"/>
          <w:highlight w:val="none"/>
        </w:rPr>
        <w:fldChar w:fldCharType="separate"/>
      </w:r>
      <w:r>
        <w:rPr>
          <w:color w:val="000000"/>
          <w:szCs w:val="36"/>
          <w:highlight w:val="none"/>
        </w:rPr>
        <w:t xml:space="preserve">第三章   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_Toc25458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_Toc1661 </w:instrText>
      </w:r>
      <w:r>
        <w:rPr>
          <w:rFonts w:hint="eastAsia" w:cs="宋体"/>
          <w:color w:val="000000"/>
          <w:szCs w:val="32"/>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_Toc1661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_Toc25957 </w:instrText>
      </w:r>
      <w:r>
        <w:rPr>
          <w:rFonts w:hint="eastAsia" w:cs="宋体"/>
          <w:color w:val="000000"/>
          <w:szCs w:val="32"/>
          <w:highlight w:val="none"/>
        </w:rPr>
        <w:fldChar w:fldCharType="separate"/>
      </w:r>
      <w:r>
        <w:rPr>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_Toc25957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_Toc27008 </w:instrText>
      </w:r>
      <w:r>
        <w:rPr>
          <w:rFonts w:hint="eastAsia" w:cs="宋体"/>
          <w:color w:val="000000"/>
          <w:szCs w:val="32"/>
          <w:highlight w:val="none"/>
        </w:rPr>
        <w:fldChar w:fldCharType="separate"/>
      </w:r>
      <w:r>
        <w:rPr>
          <w:rFonts w:hint="eastAsia" w:cs="宋体"/>
          <w:color w:val="000000"/>
          <w:szCs w:val="36"/>
          <w:highlight w:val="none"/>
          <w:lang w:bidi="ar"/>
        </w:rPr>
        <w:t xml:space="preserve">施 工 合 同</w:t>
      </w:r>
      <w:r>
        <w:rPr>
          <w:color w:val="000000"/>
          <w:highlight w:val="none"/>
        </w:rPr>
        <w:tab/>
      </w:r>
      <w:r>
        <w:rPr>
          <w:color w:val="000000"/>
          <w:highlight w:val="none"/>
        </w:rPr>
        <w:fldChar w:fldCharType="begin"/>
      </w:r>
      <w:r>
        <w:rPr>
          <w:color w:val="000000"/>
          <w:highlight w:val="none"/>
        </w:rPr>
        <w:instrText xml:space="preserve"> PAGEREF _Toc27008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_Toc20453 </w:instrText>
      </w:r>
      <w:r>
        <w:rPr>
          <w:rFonts w:hint="eastAsia" w:cs="宋体"/>
          <w:color w:val="000000"/>
          <w:szCs w:val="32"/>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_Toc20453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Style w:val="1118"/>
          <w:rFonts w:hint="eastAsia" w:cs="宋体"/>
          <w:color w:val="000000"/>
          <w:sz w:val="32"/>
          <w:szCs w:val="32"/>
          <w:highlight w:val="none"/>
        </w:rPr>
        <w:fldChar w:fldCharType="end"/>
      </w:r>
      <w:r>
        <w:rPr>
          <w:rFonts w:hint="eastAsia" w:cs="宋体"/>
          <w:b w:val="0"/>
          <w:color w:val="000000"/>
          <w:sz w:val="32"/>
          <w:szCs w:val="32"/>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Fonts w:hint="eastAsia" w:cs="宋体"/>
          <w:b w:val="0"/>
          <w:color w:val="000000"/>
          <w:sz w:val="32"/>
          <w:szCs w:val="32"/>
          <w:highlight w:val="none"/>
        </w:rPr>
      </w:r>
      <w:r/>
    </w:p>
    <w:p>
      <w:pPr>
        <w:pStyle w:val="104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bookmarkStart w:id="1" w:name="_Toc25181"/>
      <w:r/>
      <w:bookmarkStart w:id="2" w:name="_Toc104818925"/>
      <w:r/>
      <w:bookmarkStart w:id="3" w:name="_Toc24584"/>
      <w:r/>
      <w:bookmarkStart w:id="4" w:name="_Toc8614"/>
      <w:r/>
      <w:bookmarkStart w:id="5" w:name="_Toc23887"/>
      <w:r>
        <w:rPr>
          <w:b/>
          <w:color w:val="000000"/>
          <w:sz w:val="36"/>
          <w:szCs w:val="36"/>
          <w:highlight w:val="none"/>
        </w:rPr>
        <w:t xml:space="preserve">第一章   采购邀请</w:t>
      </w:r>
      <w:bookmarkEnd w:id="1"/>
      <w:r/>
      <w:bookmarkEnd w:id="2"/>
      <w:r/>
      <w:bookmarkEnd w:id="3"/>
      <w:r/>
      <w:bookmarkEnd w:id="4"/>
      <w:r/>
      <w:bookmarkEnd w:id="5"/>
      <w:r/>
      <w:bookmarkStart w:id="6" w:name="_Toc35393790"/>
      <w:r/>
      <w:bookmarkStart w:id="7" w:name="_Toc28359002"/>
      <w:r/>
      <w:bookmarkStart w:id="8" w:name="_Toc28359079"/>
      <w:r/>
      <w:bookmarkStart w:id="9" w:name="_Toc35393621"/>
      <w:r/>
      <w:bookmarkStart w:id="10" w:name="_Hlk24379207"/>
      <w:r>
        <w:rPr>
          <w:rFonts w:hint="eastAsia" w:ascii="宋体" w:hAnsi="宋体" w:cs="宋体"/>
          <w:b/>
          <w:color w:val="000000"/>
          <w:sz w:val="32"/>
          <w:szCs w:val="32"/>
          <w:highlight w:val="none"/>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一、项目基本情况</w:t>
      </w:r>
      <w:bookmarkEnd w:id="6"/>
      <w:r/>
      <w:bookmarkEnd w:id="7"/>
      <w:r/>
      <w:bookmarkEnd w:id="8"/>
      <w:r/>
      <w:bookmarkEnd w:id="9"/>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JSZC-320400-QGZB-C2026-0001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常州机电职业技术学院善学楼（东教学楼）升级改造项目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t xml:space="preserve">..</w:t>
      </w:r>
      <w:r/>
    </w:p>
    <w:p>
      <w:pPr>
        <w:pStyle w:val="1041"/>
        <w:ind w:firstLine="480"/>
        <w:spacing w:line="360" w:lineRule="auto"/>
        <w:rPr>
          <w:rFonts w:hint="eastAsia" w:ascii="宋体" w:hAnsi="宋体" w:cs="宋体"/>
          <w:color w:val="000000"/>
          <w:sz w:val="24"/>
          <w:highlight w:val="none"/>
        </w:rPr>
      </w:pPr>
      <w:r/>
      <w:bookmarkEnd w:id="10"/>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人民币</w:t>
      </w:r>
      <w:r>
        <w:rPr>
          <w:rFonts w:hint="eastAsia" w:ascii="宋体" w:hAnsi="宋体" w:cs="宋体"/>
          <w:color w:val="000000"/>
          <w:sz w:val="24"/>
          <w:highlight w:val="none"/>
          <w:u w:val="single"/>
        </w:rPr>
        <w:t xml:space="preserve">394 </w:t>
      </w:r>
      <w:r>
        <w:rPr>
          <w:rFonts w:hint="eastAsia" w:ascii="宋体" w:hAnsi="宋体" w:cs="宋体"/>
          <w:color w:val="000000"/>
          <w:sz w:val="24"/>
          <w:highlight w:val="none"/>
        </w:rPr>
        <w:t xml:space="preserve">万元，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val="en-US" w:eastAsia="zh-CN"/>
        </w:rPr>
        <w:t xml:space="preserve">人民币</w:t>
      </w:r>
      <w:r>
        <w:rPr>
          <w:rFonts w:hint="eastAsia" w:ascii="宋体" w:hAnsi="宋体" w:cs="宋体"/>
          <w:color w:val="000000"/>
          <w:sz w:val="24"/>
          <w:highlight w:val="none"/>
          <w:u w:val="single"/>
        </w:rPr>
        <w:t xml:space="preserve">393</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799430</w:t>
      </w:r>
      <w:r>
        <w:rPr>
          <w:rFonts w:hint="eastAsia" w:ascii="宋体" w:hAnsi="宋体" w:cs="宋体"/>
          <w:color w:val="000000"/>
          <w:sz w:val="24"/>
          <w:highlight w:val="none"/>
          <w:u w:val="single"/>
          <w:lang w:val="en-US" w:eastAsia="zh-CN"/>
        </w:rPr>
        <w:t xml:space="preserve">万</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超出此范围则视为无效响应。</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399"/>
        <w:gridCol w:w="2669"/>
        <w:gridCol w:w="587"/>
        <w:gridCol w:w="3166"/>
      </w:tblGrid>
      <w:tr>
        <w:trPr>
          <w:trHeight w:val="454"/>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包号</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266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采购包预算金额（万元）</w:t>
            </w:r>
            <w:r>
              <w:rPr>
                <w:rFonts w:hint="eastAsia"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3166"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859"/>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01</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color w:val="000000"/>
                <w:sz w:val="24"/>
                <w:highlight w:val="none"/>
                <w:u w:val="single"/>
              </w:rPr>
              <w:t xml:space="preserve">常州机电职业技术学院善学楼（东教学楼）升级改造项目</w:t>
            </w:r>
            <w:r>
              <w:rPr>
                <w:rFonts w:ascii="宋体" w:hAnsi="宋体" w:cs="宋体"/>
                <w:bCs/>
                <w:color w:val="000000"/>
                <w:sz w:val="24"/>
                <w:highlight w:val="none"/>
              </w:rPr>
            </w:r>
            <w:r/>
          </w:p>
        </w:tc>
        <w:tc>
          <w:tcPr>
            <w:tcW w:w="266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394</w:t>
            </w:r>
            <w:r>
              <w:rPr>
                <w:rFonts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166" w:type="dxa"/>
            <w:vAlign w:val="center"/>
            <w:textDirection w:val="lrTb"/>
            <w:noWrap w:val="false"/>
          </w:tcPr>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color w:val="000000"/>
                <w:sz w:val="24"/>
                <w:highlight w:val="none"/>
              </w:rPr>
            </w:r>
            <w:r/>
          </w:p>
        </w:tc>
      </w:tr>
    </w:tbl>
    <w:p>
      <w:pPr>
        <w:pStyle w:val="104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color w:val="000000"/>
          <w:sz w:val="24"/>
          <w:highlight w:val="none"/>
          <w:lang w:eastAsia="zh-CN"/>
        </w:rPr>
        <w:t xml:space="preserve">50天，以开工时间为准。</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7.本项目是否接受联合体：□是  ■否。</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11" w:name="_Toc35393622"/>
      <w:r/>
      <w:bookmarkStart w:id="12" w:name="_Toc28359080"/>
      <w:r/>
      <w:bookmarkStart w:id="13" w:name="_Toc35393791"/>
      <w:r/>
      <w:bookmarkStart w:id="14" w:name="_Toc28359003"/>
      <w:r>
        <w:rPr>
          <w:rFonts w:hint="eastAsia" w:ascii="宋体" w:hAnsi="宋体" w:cs="宋体"/>
          <w:b/>
          <w:bCs/>
          <w:color w:val="000000"/>
          <w:sz w:val="24"/>
          <w:highlight w:val="none"/>
        </w:rPr>
        <w:t xml:space="preserve">二、申请人的资格要求（须同时满足）</w:t>
      </w:r>
      <w:bookmarkEnd w:id="11"/>
      <w:r/>
      <w:bookmarkEnd w:id="12"/>
      <w:r/>
      <w:bookmarkEnd w:id="13"/>
      <w:r/>
      <w:bookmarkEnd w:id="14"/>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bookmarkStart w:id="15" w:name="_Toc28359004"/>
      <w:r/>
      <w:bookmarkStart w:id="16" w:name="_Toc28359081"/>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w:t>
      </w:r>
      <w:r>
        <w:rPr>
          <w:rFonts w:hint="eastAsia" w:ascii="宋体" w:hAnsi="宋体" w:cs="宋体"/>
          <w:color w:val="000000"/>
          <w:sz w:val="24"/>
          <w:highlight w:val="none"/>
        </w:rPr>
        <w:t xml:space="preserve">■</w:t>
      </w:r>
      <w:r/>
      <w:r>
        <w:rPr>
          <w:rFonts w:hint="eastAsia" w:ascii="宋体" w:hAnsi="宋体" w:cs="宋体"/>
          <w:color w:val="000000"/>
          <w:sz w:val="24"/>
          <w:highlight w:val="none"/>
        </w:rPr>
        <w:t xml:space="preserve">小微企业  采购。即：工程全部由符合政策要求的中小企业承接。</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3.1本项目是否接受分支机构参与响应：□是   ■否；</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3.3.1供应商具备有效的建筑工程施工总承包资质三级（含）及以上资质证书或</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同时具备建筑装修装饰工程专业承包二级（含）及以上资质证书和防水防腐保温工程专业承包二级资质（含）及以上资质证书</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3.3.2供应商具有有效的安全生产许可证。</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3.3.3拟派项目负责人具有有效的二级及以上注册建造师（建筑工程）资格，同时具有有效的建设行政主管部门核发的安全生产考核合格证(B证)及本单位为其缴纳的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3.3.4提供供应商为授权代理人（法定代表人或授权委托人）缴纳的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spacing w:line="360" w:lineRule="auto"/>
        <w:rPr>
          <w:rFonts w:hint="eastAsia" w:ascii="宋体" w:hAnsi="宋体" w:cs="宋体"/>
          <w:b/>
          <w:bCs/>
          <w:color w:val="000000"/>
          <w:sz w:val="24"/>
          <w:highlight w:val="none"/>
        </w:rPr>
      </w:pPr>
      <w:r/>
      <w:bookmarkEnd w:id="15"/>
      <w:r/>
      <w:bookmarkEnd w:id="16"/>
      <w:r/>
      <w:bookmarkStart w:id="17" w:name="_Toc35393623"/>
      <w:r/>
      <w:bookmarkStart w:id="18" w:name="_Toc35393792"/>
      <w:r>
        <w:rPr>
          <w:rFonts w:hint="eastAsia" w:ascii="宋体" w:hAnsi="宋体" w:cs="宋体"/>
          <w:b/>
          <w:bCs/>
          <w:color w:val="000000"/>
          <w:sz w:val="24"/>
          <w:highlight w:val="none"/>
        </w:rPr>
        <w:t xml:space="preserve">三、获取采购文件</w:t>
      </w:r>
      <w:bookmarkEnd w:id="17"/>
      <w:r/>
      <w:bookmarkEnd w:id="1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1.时间：</w:t>
      </w:r>
      <w:r>
        <w:rPr>
          <w:rFonts w:hint="eastAsia" w:ascii="宋体" w:hAnsi="宋体" w:cs="宋体"/>
          <w:color w:val="000000"/>
          <w:sz w:val="24"/>
          <w:highlight w:val="none"/>
        </w:rPr>
        <w:t xml:space="preserve">自磋商文件公告发布之日起5个工作日</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w:t>
      </w:r>
      <w:r>
        <w:rPr>
          <w:rFonts w:hint="eastAsia" w:ascii="宋体" w:hAnsi="宋体" w:cs="宋体"/>
          <w:color w:val="000000"/>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19" w:name="_Toc35393624"/>
      <w:r/>
      <w:bookmarkStart w:id="20" w:name="_Toc28359082"/>
      <w:r/>
      <w:bookmarkStart w:id="21" w:name="_Toc28359005"/>
      <w:r/>
      <w:bookmarkStart w:id="22" w:name="_Toc35393793"/>
      <w:r>
        <w:rPr>
          <w:rFonts w:hint="eastAsia" w:ascii="宋体" w:hAnsi="宋体" w:cs="宋体"/>
          <w:b/>
          <w:bCs/>
          <w:color w:val="000000"/>
          <w:sz w:val="24"/>
          <w:highlight w:val="none"/>
        </w:rPr>
        <w:t xml:space="preserve">四、</w:t>
      </w:r>
      <w:bookmarkEnd w:id="19"/>
      <w:r/>
      <w:bookmarkEnd w:id="20"/>
      <w:r/>
      <w:bookmarkEnd w:id="21"/>
      <w:r/>
      <w:bookmarkEnd w:id="22"/>
      <w:r>
        <w:rPr>
          <w:rFonts w:hint="eastAsia" w:ascii="宋体" w:hAnsi="宋体" w:cs="宋体"/>
          <w:b/>
          <w:bCs/>
          <w:color w:val="000000"/>
          <w:sz w:val="24"/>
          <w:highlight w:val="none"/>
        </w:rPr>
        <w:t xml:space="preserve">响应文件提交</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截止时间：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bCs/>
          <w:color w:val="000000"/>
          <w:sz w:val="24"/>
          <w:highlight w:val="none"/>
          <w:u w:val="singl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iCs/>
          <w:color w:val="000000"/>
          <w:sz w:val="24"/>
          <w:highlight w:val="none"/>
          <w:lang w:bidi="ar"/>
        </w:rPr>
      </w:pPr>
      <w:r>
        <w:rPr>
          <w:rFonts w:hint="eastAsia" w:ascii="宋体" w:hAnsi="宋体" w:cs="宋体"/>
          <w:color w:val="000000"/>
          <w:sz w:val="24"/>
          <w:highlight w:val="none"/>
          <w:lang w:bidi="ar"/>
        </w:rPr>
        <w:t xml:space="preserve">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iCs/>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bookmarkStart w:id="23" w:name="_Toc28359007"/>
      <w:r/>
      <w:bookmarkStart w:id="24" w:name="_Toc28359084"/>
      <w:r/>
      <w:bookmarkStart w:id="25" w:name="_Toc35393625"/>
      <w:r/>
      <w:bookmarkStart w:id="26" w:name="_Toc35393794"/>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“苏采云”政府采购交易系统网上开标大厅。</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bookmarkEnd w:id="23"/>
      <w:r/>
      <w:bookmarkEnd w:id="24"/>
      <w:r/>
      <w:bookmarkEnd w:id="25"/>
      <w:r/>
      <w:bookmarkEnd w:id="26"/>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自本公告发布之日起3个工作日。</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27" w:name="_Toc35393795"/>
      <w:r/>
      <w:bookmarkStart w:id="28" w:name="_Toc35393626"/>
      <w:r>
        <w:rPr>
          <w:rFonts w:hint="eastAsia" w:ascii="宋体" w:hAnsi="宋体" w:cs="宋体"/>
          <w:b/>
          <w:bCs/>
          <w:color w:val="000000"/>
          <w:sz w:val="24"/>
          <w:highlight w:val="none"/>
        </w:rPr>
        <w:t xml:space="preserve">七、其他补充事宜</w:t>
      </w:r>
      <w:bookmarkEnd w:id="27"/>
      <w:r/>
      <w:bookmarkEnd w:id="2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4.有关本次磋商的事项若存在变动或修改，敬请及时关注“江苏政府采购网”、“常州市政府采购网”发布的更正公告。</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5.本次磋商不收取磋商保证金。</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6.注意事项</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9.如潜在供应商未按上述要求操作，将自行承担所产生的风险。</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10.关于常州市中小企业政府采购信用融资：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11.关于深入开展常州市政府采购线上合同信用融资：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29" w:name="_Toc35393796"/>
      <w:r/>
      <w:bookmarkStart w:id="30" w:name="_Toc28359008"/>
      <w:r/>
      <w:bookmarkStart w:id="31" w:name="_Toc28359085"/>
      <w:r/>
      <w:bookmarkStart w:id="32" w:name="_Toc35393627"/>
      <w:r>
        <w:rPr>
          <w:rFonts w:hint="eastAsia" w:ascii="宋体" w:hAnsi="宋体" w:cs="宋体"/>
          <w:b/>
          <w:bCs/>
          <w:color w:val="000000"/>
          <w:sz w:val="24"/>
          <w:highlight w:val="none"/>
        </w:rPr>
        <w:t xml:space="preserve">八、对本项目提出询问，请按以下方式联系。</w:t>
      </w:r>
      <w:bookmarkEnd w:id="29"/>
      <w:r/>
      <w:bookmarkEnd w:id="30"/>
      <w:r/>
      <w:bookmarkEnd w:id="31"/>
      <w:r/>
      <w:bookmarkEnd w:id="32"/>
      <w:r>
        <w:rPr>
          <w:rFonts w:hint="eastAsia" w:ascii="宋体" w:hAnsi="宋体" w:cs="宋体"/>
          <w:b/>
          <w:bCs/>
          <w:color w:val="000000"/>
          <w:sz w:val="24"/>
          <w:highlight w:val="none"/>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1.采购人信息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常州机电职业技术学院 </w:t>
      </w:r>
      <w:r>
        <w:rPr>
          <w:rFonts w:hint="eastAsia" w:ascii="宋体" w:hAnsi="宋体" w:cs="宋体"/>
          <w:color w:val="000000"/>
          <w:sz w:val="24"/>
          <w:highlight w:val="none"/>
          <w:lang w:val="zh-TW" w:bidi="ar"/>
        </w:rPr>
      </w:r>
      <w:r/>
    </w:p>
    <w:p>
      <w:pPr>
        <w:pStyle w:val="1041"/>
        <w:ind w:firstLine="480"/>
        <w:jc w:val="left"/>
        <w:spacing w:line="360" w:lineRule="auto"/>
        <w:widowControl/>
        <w:rPr>
          <w:rFonts w:ascii="宋体" w:hAnsi="宋体" w:cs="宋体"/>
          <w:color w:val="000000"/>
          <w:sz w:val="24"/>
          <w:highlight w:val="none"/>
          <w:u w:val="single"/>
          <w:lang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常州市武进区湖塘镇鸣新中路26号 </w:t>
      </w:r>
      <w:r>
        <w:rPr>
          <w:rFonts w:ascii="宋体" w:hAnsi="宋体" w:cs="宋体"/>
          <w:color w:val="000000"/>
          <w:sz w:val="24"/>
          <w:highlight w:val="none"/>
          <w:u w:val="single"/>
          <w:lang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联系方式：封老师</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    0519-86331299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常州青果招投标有限公司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常州市延陵西路53号（常州大酒店B座10层）常州青果招投标有限公司1009开标室</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杭工</w:t>
      </w:r>
      <w:r>
        <w:rPr>
          <w:rFonts w:hint="eastAsia" w:ascii="宋体" w:hAnsi="宋体" w:cs="宋体"/>
          <w:color w:val="000000"/>
          <w:sz w:val="24"/>
          <w:highlight w:val="none"/>
          <w:u w:val="single"/>
          <w:lang w:eastAsia="zh-CN" w:bidi="ar"/>
        </w:rPr>
        <w:t xml:space="preserve">、</w:t>
      </w:r>
      <w:r>
        <w:rPr>
          <w:rFonts w:hint="eastAsia" w:ascii="宋体" w:hAnsi="宋体" w:cs="宋体"/>
          <w:color w:val="000000"/>
          <w:sz w:val="24"/>
          <w:highlight w:val="none"/>
          <w:u w:val="single"/>
          <w:lang w:val="en-US" w:eastAsia="zh-CN" w:bidi="ar"/>
        </w:rPr>
        <w:t xml:space="preserve">张工</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18052541018</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eastAsia="zh-CN" w:bidi="ar"/>
        </w:rPr>
        <w:t xml:space="preserve">、0519-68979906</w:t>
      </w:r>
      <w:r>
        <w:rPr>
          <w:rFonts w:hint="eastAsia" w:ascii="宋体" w:hAnsi="宋体" w:eastAsia="宋体" w:cs="宋体"/>
          <w:color w:val="000000"/>
          <w:sz w:val="24"/>
          <w:highlight w:val="none"/>
          <w:lang w:eastAsia="zh-CN"/>
        </w:rPr>
      </w:r>
      <w:r/>
    </w:p>
    <w:p>
      <w:pPr>
        <w:pStyle w:val="1067"/>
        <w:shd w:val="clear" w:color="auto" w:fill="auto"/>
        <w:rPr>
          <w:rFonts w:hint="eastAsia"/>
          <w:color w:val="000000"/>
          <w:highlight w:val="none"/>
        </w:rPr>
      </w:pPr>
      <w:r>
        <w:rPr>
          <w:rFonts w:hint="eastAsia"/>
          <w:color w:val="000000"/>
          <w:highlight w:val="none"/>
        </w:rPr>
      </w:r>
      <w:r/>
    </w:p>
    <w:p>
      <w:pPr>
        <w:pStyle w:val="1104"/>
        <w:ind w:left="0" w:right="0"/>
        <w:jc w:val="left"/>
        <w:keepLines w:val="0"/>
        <w:keepNext w:val="0"/>
        <w:spacing w:before="0" w:beforeAutospacing="0" w:after="0" w:afterAutospacing="0" w:line="396" w:lineRule="atLeast"/>
        <w:widowControl/>
        <w:rPr>
          <w:rFonts w:hint="eastAsia" w:ascii="宋体" w:hAnsi="宋体" w:eastAsia="宋体" w:cs="宋体"/>
          <w:color w:val="000000"/>
          <w:highlight w:val="none"/>
        </w:rPr>
        <w:suppressLineNumbers w:val="0"/>
      </w:pPr>
      <w:r>
        <w:rPr>
          <w:rFonts w:hint="eastAsia" w:ascii="宋体" w:hAnsi="宋体" w:eastAsia="宋体" w:cs="宋体"/>
          <w:color w:val="000000"/>
          <w:spacing w:val="0"/>
          <w:sz w:val="24"/>
          <w:szCs w:val="24"/>
          <w:highlight w:val="none"/>
        </w:rPr>
        <w:t xml:space="preserve">注:上述个人信息由于工作需要经机构或本人同意对外公布。</w:t>
      </w:r>
      <w:r>
        <w:rPr>
          <w:rFonts w:hint="eastAsia" w:ascii="宋体" w:hAnsi="宋体" w:eastAsia="宋体" w:cs="宋体"/>
          <w:color w:val="000000"/>
          <w:highlight w:val="none"/>
        </w:rPr>
      </w:r>
      <w:r/>
    </w:p>
    <w:p>
      <w:pPr>
        <w:pStyle w:val="1041"/>
        <w:rPr>
          <w:rFonts w:hint="eastAsia"/>
          <w:color w:val="000000"/>
          <w:highlight w:val="none"/>
        </w:rPr>
        <w:sectPr>
          <w:footerReference w:type="default" r:id="rId12"/>
          <w:footerReference w:type="first" r:id="rId13"/>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color w:val="000000"/>
          <w:highlight w:val="none"/>
        </w:rPr>
      </w:r>
      <w:r/>
    </w:p>
    <w:p>
      <w:pPr>
        <w:pStyle w:val="1041"/>
        <w:jc w:val="center"/>
        <w:spacing w:line="360" w:lineRule="auto"/>
        <w:rPr>
          <w:b/>
          <w:color w:val="000000"/>
          <w:sz w:val="36"/>
          <w:szCs w:val="36"/>
          <w:highlight w:val="none"/>
        </w:rPr>
        <w:outlineLvl w:val="0"/>
      </w:pPr>
      <w:r/>
      <w:bookmarkStart w:id="33" w:name="_Toc104818926"/>
      <w:r/>
      <w:bookmarkStart w:id="34" w:name="_Toc195842950"/>
      <w:r/>
      <w:bookmarkStart w:id="35" w:name="_Toc353825548"/>
      <w:r/>
      <w:bookmarkStart w:id="36" w:name="_Toc29824"/>
      <w:r/>
      <w:bookmarkStart w:id="37" w:name="_Toc127151777"/>
      <w:r/>
      <w:bookmarkStart w:id="38" w:name="_Toc5724"/>
      <w:r/>
      <w:bookmarkStart w:id="39" w:name="_Toc512937850"/>
      <w:r/>
      <w:bookmarkStart w:id="40" w:name="_Toc127161488"/>
      <w:r/>
      <w:bookmarkStart w:id="41" w:name="_Toc226965856"/>
      <w:r/>
      <w:bookmarkStart w:id="42" w:name="_Toc305158854"/>
      <w:r/>
      <w:bookmarkStart w:id="43" w:name="_Toc265228423"/>
      <w:r/>
      <w:bookmarkStart w:id="44" w:name="_Toc697"/>
      <w:r/>
      <w:bookmarkStart w:id="45" w:name="_Toc150774783"/>
      <w:r/>
      <w:bookmarkStart w:id="46" w:name="_Toc264969275"/>
      <w:r/>
      <w:bookmarkStart w:id="47" w:name="_Toc353873938"/>
      <w:r/>
      <w:bookmarkStart w:id="48" w:name="_Toc22364"/>
      <w:r/>
      <w:bookmarkStart w:id="49" w:name="_Toc30515892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pPr>
      <w:r/>
      <w:bookmarkStart w:id="50" w:name="_Toc164229360"/>
      <w:r/>
      <w:bookmarkStart w:id="51" w:name="_Toc127151720"/>
      <w:r/>
      <w:bookmarkStart w:id="52" w:name="_Toc127161433"/>
      <w:r/>
      <w:bookmarkStart w:id="53" w:name="_Toc151193833"/>
      <w:r/>
      <w:bookmarkStart w:id="54" w:name="_Toc151193617"/>
      <w:r/>
      <w:bookmarkStart w:id="55" w:name="_Toc226965709"/>
      <w:r/>
      <w:bookmarkStart w:id="56" w:name="_Toc150480757"/>
      <w:r/>
      <w:bookmarkStart w:id="57" w:name="_Toc151190146"/>
      <w:r/>
      <w:bookmarkStart w:id="58" w:name="_Toc150509270"/>
      <w:r/>
      <w:bookmarkStart w:id="59" w:name="_Toc164608788"/>
      <w:r/>
      <w:bookmarkStart w:id="60" w:name="_Toc142311021"/>
      <w:r/>
      <w:bookmarkStart w:id="61" w:name="_Toc151193689"/>
      <w:r/>
      <w:bookmarkStart w:id="62" w:name="_Toc164351613"/>
      <w:r/>
      <w:bookmarkStart w:id="63" w:name="_Toc150774619"/>
      <w:r/>
      <w:bookmarkStart w:id="64" w:name="_Toc164229214"/>
      <w:r/>
      <w:bookmarkStart w:id="65" w:name="_Toc151193907"/>
      <w:r/>
      <w:bookmarkStart w:id="66" w:name="_Toc226309763"/>
      <w:r/>
      <w:bookmarkStart w:id="67" w:name="_Toc195842884"/>
      <w:r/>
      <w:bookmarkStart w:id="68" w:name="_Toc520356144"/>
      <w:r/>
      <w:bookmarkStart w:id="69" w:name="_Toc151193761"/>
      <w:r/>
      <w:bookmarkStart w:id="70" w:name="_Toc149720812"/>
      <w:r/>
      <w:bookmarkStart w:id="71" w:name="_Toc164608633"/>
      <w:r/>
      <w:bookmarkStart w:id="72" w:name="_Toc150774724"/>
      <w:r/>
      <w:bookmarkStart w:id="73" w:name="_Toc226337215"/>
      <w:r/>
      <w:bookmarkStart w:id="74" w:name="_Toc226965792"/>
      <w:r/>
      <w:bookmarkStart w:id="75" w:name="_Toc127151519"/>
      <w:r>
        <w:rPr>
          <w:rFonts w:hint="eastAsia" w:ascii="宋体" w:hAnsi="宋体"/>
          <w:b/>
          <w:bCs/>
          <w:color w:val="000000"/>
          <w:sz w:val="28"/>
          <w:szCs w:val="28"/>
          <w:highlight w:val="none"/>
        </w:rPr>
        <w:t xml:space="preserve">供应商须知资料表</w:t>
      </w:r>
      <w:r>
        <w:rPr>
          <w:rFonts w:hint="eastAsia" w:ascii="宋体" w:hAnsi="宋体"/>
          <w:b/>
          <w:bCs/>
          <w:color w:val="000000"/>
          <w:sz w:val="28"/>
          <w:szCs w:val="28"/>
          <w:highlight w:val="none"/>
        </w:rPr>
      </w:r>
      <w:r/>
    </w:p>
    <w:p>
      <w:pPr>
        <w:pStyle w:val="1041"/>
        <w:jc w:val="center"/>
        <w:rPr>
          <w:b/>
          <w:color w:val="000000"/>
          <w:sz w:val="28"/>
          <w:szCs w:val="28"/>
          <w:highlight w:val="none"/>
        </w:rPr>
      </w:pPr>
      <w:r>
        <w:rPr>
          <w:b/>
          <w:color w:val="000000"/>
          <w:sz w:val="28"/>
          <w:szCs w:val="28"/>
          <w:highlight w:val="none"/>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253"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vMerge w:val="restart"/>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供应商在投标前应对现场进行认真踏勘，熟悉工程现场和周围环境、地质情况，了解一切可能影响投标方案、报价等编制响应文件的资料，并承担考察现场的责任和风险以及踏勘现场所发生的自身费用。中标后，供应商不得以不完全了解施工现场及周围环境为由，提出额外款项增加、补偿或延长工期等要求。</w:t>
            </w:r>
            <w:r>
              <w:rPr>
                <w:rFonts w:hint="eastAsia" w:ascii="宋体" w:hAnsi="宋体" w:cs="宋体"/>
                <w:color w:val="000000"/>
                <w:sz w:val="24"/>
                <w:highlight w:val="none"/>
              </w:rPr>
            </w:r>
            <w:r/>
          </w:p>
          <w:p>
            <w:pPr>
              <w:pStyle w:val="104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08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磋商前答疑会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77"/>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建筑业 </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10.2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■有</w:t>
            </w:r>
            <w:r>
              <w:rPr>
                <w:rFonts w:hint="eastAsia" w:ascii="宋体" w:hAnsi="宋体" w:cs="宋体"/>
                <w:color w:val="000000"/>
                <w:sz w:val="24"/>
                <w:highlight w:val="none"/>
              </w:rPr>
            </w:r>
            <w:r/>
          </w:p>
          <w:p>
            <w:pPr>
              <w:pStyle w:val="1041"/>
              <w:numPr>
                <w:ilvl w:val="0"/>
                <w:numId w:val="8"/>
              </w:numPr>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二次，响应文件中的报价为首次报价，合同单价按最终总报价同比例浮动（如有）。供应商报价</w:t>
            </w:r>
            <w:r>
              <w:rPr>
                <w:rFonts w:hint="eastAsia" w:ascii="宋体" w:hAnsi="宋体" w:cs="宋体"/>
                <w:color w:val="000000"/>
                <w:sz w:val="24"/>
                <w:highlight w:val="none"/>
                <w:u w:val="single"/>
                <w:lang w:val="en-US" w:eastAsia="zh-CN"/>
              </w:rPr>
              <w:t xml:space="preserve">单价、</w:t>
            </w:r>
            <w:r>
              <w:rPr>
                <w:rFonts w:hint="eastAsia" w:ascii="宋体" w:hAnsi="宋体" w:cs="宋体"/>
                <w:color w:val="000000"/>
                <w:sz w:val="24"/>
                <w:highlight w:val="none"/>
                <w:u w:val="single"/>
              </w:rPr>
              <w:t xml:space="preserve">总价不得超过</w:t>
            </w:r>
            <w:r>
              <w:rPr>
                <w:rFonts w:hint="eastAsia" w:ascii="宋体" w:hAnsi="宋体" w:cs="宋体"/>
                <w:color w:val="000000"/>
                <w:sz w:val="24"/>
                <w:highlight w:val="none"/>
                <w:u w:val="single"/>
                <w:lang w:val="en-US" w:eastAsia="zh-CN"/>
              </w:rPr>
              <w:t xml:space="preserve">控制单价、</w:t>
            </w:r>
            <w:r>
              <w:rPr>
                <w:rFonts w:hint="eastAsia" w:ascii="宋体" w:hAnsi="宋体" w:cs="宋体"/>
                <w:color w:val="000000"/>
                <w:sz w:val="24"/>
                <w:highlight w:val="none"/>
                <w:u w:val="single"/>
              </w:rPr>
              <w:t xml:space="preserve">控制价总价，否则作符合性审查不通过处理。</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2、中标后提供（江苏省2013清单招投标接口V3.2版本）13.jt格式文件或提供（江苏省2013清单招投标最新接口版本）13.jt格式及EXCEL版本文件。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磋商保证金</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12.1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自提交响应文件的截止之日起算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23.5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 </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于2026年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29</w:t>
            </w:r>
            <w:r>
              <w:rPr>
                <w:rFonts w:hint="eastAsia" w:ascii="宋体" w:hAnsi="宋体" w:cs="宋体"/>
                <w:color w:val="000000"/>
                <w:sz w:val="24"/>
                <w:highlight w:val="none"/>
                <w:u w:val="single"/>
              </w:rPr>
              <w:t xml:space="preserve">日17：00（北京时间）前以书面形式递交至常州青果招投标有限公司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（注：① 答疑文件须加盖竞标单位公章；② 答疑文件以代理机构收到时间为准；否则代理机构有权拒收其答疑文件）。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24.3</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杭工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18052541018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常州市延陵西路53号（常州大酒店B座10层）常州青果招投标有限公司1009开标室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rPr>
                <w:rFonts w:hint="eastAsia" w:ascii="宋体" w:hAnsi="宋体" w:cs="宋体"/>
                <w:color w:val="000000"/>
                <w:sz w:val="24"/>
                <w:highlight w:val="none"/>
              </w:rPr>
            </w:r>
            <w:r/>
          </w:p>
          <w:p>
            <w:pPr>
              <w:pStyle w:val="1041"/>
              <w:ind w:firstLine="480"/>
              <w:jc w:val="left"/>
              <w:spacing w:line="288"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按</w:t>
            </w:r>
            <w:r>
              <w:rPr>
                <w:rFonts w:hint="eastAsia" w:ascii="宋体" w:hAnsi="宋体"/>
                <w:color w:val="000000"/>
                <w:sz w:val="24"/>
                <w:highlight w:val="none"/>
                <w:u w:val="single"/>
                <w:lang w:val="en-US" w:eastAsia="zh-CN"/>
              </w:rPr>
              <w:t xml:space="preserve">发改价格（2011）534号文*10%规定收取费用，</w:t>
            </w:r>
            <w:r>
              <w:rPr>
                <w:rFonts w:hint="eastAsia" w:ascii="宋体" w:hAnsi="宋体" w:cs="宋体"/>
                <w:color w:val="000000"/>
                <w:sz w:val="24"/>
                <w:highlight w:val="none"/>
                <w:u w:val="single"/>
              </w:rPr>
              <w:t xml:space="preserve">收费比例按差额定率分档累进法计算，成交服务收费按上述计算方法不足人民币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元的，按人民币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bl>
            <w:tblPr>
              <w:tblW w:w="6339"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1"/>
              <w:gridCol w:w="2938"/>
            </w:tblGrid>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17780</wp:posOffset>
                            </wp:positionH>
                            <wp:positionV relativeFrom="paragraph">
                              <wp:posOffset>38100</wp:posOffset>
                            </wp:positionV>
                            <wp:extent cx="2046605" cy="8864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046604"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4pt;mso-position-horizontal:absolute;mso-position-vertical-relative:text;margin-top:3.0pt;mso-position-vertical:absolute;width:161.2pt;height:69.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bCs/>
                      <w:i w:val="0"/>
                      <w:iCs w:val="0"/>
                      <w:color w:val="000000"/>
                      <w:sz w:val="21"/>
                      <w:szCs w:val="21"/>
                      <w:highlight w:val="none"/>
                      <w:u w:val="none"/>
                      <w:lang w:val="en-US" w:eastAsia="zh-CN" w:bidi="ar"/>
                    </w:rPr>
                    <w:t xml:space="preserve">        服务类型</w:t>
                  </w:r>
                  <w:r>
                    <w:rPr>
                      <w:rFonts w:hint="eastAsia" w:ascii="宋体" w:hAnsi="宋体" w:eastAsia="宋体" w:cs="宋体"/>
                      <w:b/>
                      <w:bCs/>
                      <w:i w:val="0"/>
                      <w:iCs w:val="0"/>
                      <w:color w:val="000000"/>
                      <w:sz w:val="21"/>
                      <w:szCs w:val="21"/>
                      <w:highlight w:val="none"/>
                      <w:u w:val="none"/>
                    </w:rPr>
                  </w:r>
                  <w:r/>
                </w:p>
              </w:tc>
              <w:tc>
                <w:tcPr>
                  <w:tcW w:w="2938" w:type="dxa"/>
                  <w:vAlign w:val="center"/>
                  <w:vMerge w:val="restart"/>
                  <w:textDirection w:val="lrTb"/>
                  <w:noWrap w:val="false"/>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工程招标</w:t>
                  </w: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费率</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中标金额（万元）</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Style w:val="1306"/>
                      <w:color w:val="000000"/>
                      <w:highlight w:val="none"/>
                      <w:lang w:val="en-US" w:eastAsia="zh-CN" w:bidi="ar"/>
                    </w:rPr>
                    <w:t xml:space="preserve">以下</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100-500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0.70%</w:t>
                  </w:r>
                  <w:r>
                    <w:rPr>
                      <w:rFonts w:ascii="Times New Roman" w:hAnsi="Times New Roman" w:eastAsia="宋体" w:cs="Times New Roman"/>
                      <w:i w:val="0"/>
                      <w:iCs w:val="0"/>
                      <w:color w:val="000000"/>
                      <w:sz w:val="21"/>
                      <w:szCs w:val="21"/>
                      <w:highlight w:val="none"/>
                      <w:u w:val="none"/>
                    </w:rPr>
                  </w:r>
                  <w:r/>
                </w:p>
              </w:tc>
            </w:tr>
            <w:tr>
              <w:trPr>
                <w:trHeight w:val="300"/>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500-1000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0.55%</w:t>
                  </w:r>
                  <w:r>
                    <w:rPr>
                      <w:rFonts w:ascii="Times New Roman" w:hAnsi="Times New Roman" w:eastAsia="宋体" w:cs="Times New Roman"/>
                      <w:i w:val="0"/>
                      <w:iCs w:val="0"/>
                      <w:color w:val="000000"/>
                      <w:sz w:val="21"/>
                      <w:szCs w:val="21"/>
                      <w:highlight w:val="none"/>
                      <w:u w:val="none"/>
                    </w:rPr>
                  </w:r>
                  <w:r/>
                </w:p>
              </w:tc>
            </w:tr>
          </w:tbl>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成交供应商应在领取成交通知书时将成交服务费付至采购代理机构的账户并备注项目编号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收款单位：常州青果招投标有限公司</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银行账号：554746319228</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开户银行：中国银行股份有限公司常州天宁支行</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电子系统意外情况处理条款</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为确保本项目电子化采购活动顺利进行，防范化解采购风险，特制定相关情形处置举措。所有潜在供应商及参与各方均应知悉并遵守以下规定：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（一）若故障可在短时间内排除，采购代理机构将等待系统修复后，继续开展采购活动。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（三）若因故障导致有效供应商不足法定家数或出现其他法定废标情形，采购代理机构将发布废标（终止）公告，重新开展采购活动。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（二）处置方案：视故障排除情况，采购代理机构将选择：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1.若故障可在短时间内排除，采购代理机构将等待系统修复后，由原评审委员会继续完成评审；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 若故障无法在当日排除，或故障导致评审无法公正进行，将发布废标（终止）公告，重新开展采购活动；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highlight w:val="none"/>
                <w:u w:val="single"/>
              </w:rPr>
            </w:r>
            <w:r/>
          </w:p>
        </w:tc>
      </w:tr>
    </w:tbl>
    <w:p>
      <w:pPr>
        <w:pStyle w:val="1041"/>
        <w:jc w:val="both"/>
        <w:spacing w:line="360" w:lineRule="auto"/>
        <w:tabs>
          <w:tab w:val="left" w:pos="5580" w:leader="none"/>
        </w:tabs>
        <w:rPr>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titlePg/>
        </w:sectPr>
      </w:pP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305158897"/>
      <w:r/>
      <w:bookmarkStart w:id="77" w:name="_Toc226965828"/>
      <w:r/>
      <w:bookmarkStart w:id="78" w:name="_Toc150774760"/>
      <w:r/>
      <w:bookmarkStart w:id="79" w:name="_Toc150480793"/>
      <w:r/>
      <w:bookmarkStart w:id="80" w:name="_Toc353873665"/>
      <w:r/>
      <w:bookmarkStart w:id="81" w:name="_Toc195842920"/>
      <w:r/>
      <w:bookmarkStart w:id="82" w:name="_Toc305158823"/>
      <w:r/>
      <w:bookmarkStart w:id="83" w:name="_Toc127151555"/>
      <w:r/>
      <w:bookmarkStart w:id="84" w:name="_Toc264969245"/>
      <w:r/>
      <w:bookmarkStart w:id="85" w:name="_Toc353825545"/>
      <w:r/>
      <w:bookmarkStart w:id="86" w:name="_Toc226337251"/>
      <w:r/>
      <w:bookmarkStart w:id="87" w:name="_Toc353873935"/>
      <w:r/>
      <w:bookmarkStart w:id="88" w:name="_Toc265228393"/>
      <w:r/>
      <w:bookmarkStart w:id="89" w:name="_Toc142311057"/>
      <w:r>
        <w:rPr>
          <w:rFonts w:hint="eastAsia" w:ascii="宋体" w:hAnsi="宋体"/>
          <w:b/>
          <w:bCs/>
          <w:color w:val="000000"/>
          <w:sz w:val="28"/>
          <w:szCs w:val="28"/>
          <w:highlight w:val="none"/>
        </w:rPr>
        <w:t xml:space="preserve">供应商须知</w:t>
      </w: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90" w:name="_Toc151193616"/>
      <w:r/>
      <w:bookmarkStart w:id="91" w:name="_Toc142311020"/>
      <w:r/>
      <w:bookmarkStart w:id="92" w:name="_Toc305158860"/>
      <w:r/>
      <w:bookmarkStart w:id="93" w:name="_Toc151190145"/>
      <w:r/>
      <w:bookmarkStart w:id="94" w:name="_Toc151193688"/>
      <w:r/>
      <w:bookmarkStart w:id="95" w:name="_Toc264969208"/>
      <w:r/>
      <w:bookmarkStart w:id="96" w:name="_Toc150480756"/>
      <w:r/>
      <w:bookmarkStart w:id="97" w:name="_Toc195842883"/>
      <w:r/>
      <w:bookmarkStart w:id="98" w:name="_Toc226965791"/>
      <w:r/>
      <w:bookmarkStart w:id="99" w:name="_Toc226309762"/>
      <w:r/>
      <w:bookmarkStart w:id="100" w:name="_Toc226965708"/>
      <w:r/>
      <w:bookmarkStart w:id="101" w:name="_Toc127151518"/>
      <w:r/>
      <w:bookmarkStart w:id="102" w:name="_Toc265228356"/>
      <w:r/>
      <w:bookmarkStart w:id="103" w:name="_Toc151193760"/>
      <w:r/>
      <w:bookmarkStart w:id="104" w:name="_Toc151193832"/>
      <w:r/>
      <w:bookmarkStart w:id="105" w:name="_Toc150774618"/>
      <w:r/>
      <w:bookmarkStart w:id="106" w:name="_Toc226337214"/>
      <w:r/>
      <w:bookmarkStart w:id="107" w:name="_Toc150774723"/>
      <w:r/>
      <w:bookmarkStart w:id="108" w:name="_Toc305158786"/>
      <w:r/>
      <w:bookmarkStart w:id="109" w:name="_Toc520356143"/>
      <w:r/>
      <w:bookmarkStart w:id="110" w:name="_Toc150509269"/>
      <w:r/>
      <w:bookmarkStart w:id="111" w:name="_Toc151193906"/>
      <w:r>
        <w:rPr>
          <w:rFonts w:hint="eastAsia" w:ascii="宋体" w:hAnsi="宋体"/>
          <w:b/>
          <w:bCs/>
          <w:color w:val="000000"/>
          <w:sz w:val="28"/>
          <w:szCs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2" w:name="_Toc305158787"/>
      <w:r/>
      <w:bookmarkStart w:id="113" w:name="_Toc264969209"/>
      <w:r/>
      <w:bookmarkStart w:id="114" w:name="_Toc305158861"/>
      <w:r/>
      <w:bookmarkStart w:id="115" w:name="_Toc265228357"/>
      <w:r>
        <w:rPr>
          <w:rFonts w:hint="eastAsia"/>
          <w:color w:val="000000"/>
          <w:sz w:val="24"/>
          <w:highlight w:val="none"/>
        </w:rPr>
        <w:t xml:space="preserve">采购人、采购代理机构、供应商</w:t>
      </w:r>
      <w:bookmarkEnd w:id="112"/>
      <w:r/>
      <w:bookmarkEnd w:id="113"/>
      <w:r/>
      <w:bookmarkEnd w:id="114"/>
      <w:r/>
      <w:bookmarkEnd w:id="115"/>
      <w:r>
        <w:rPr>
          <w:rFonts w:hint="eastAsia"/>
          <w:color w:val="000000"/>
          <w:sz w:val="24"/>
          <w:highlight w:val="none"/>
        </w:rPr>
        <w:t xml:space="preserve">、联合体</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供应商（也称“申请人”）：指向采购人提供货物、工程或者服务的法人、其他组织或者自然人。</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6" w:name="_Toc164229361"/>
      <w:r/>
      <w:bookmarkStart w:id="117" w:name="_Toc151193690"/>
      <w:r/>
      <w:bookmarkStart w:id="118" w:name="_Toc264969210"/>
      <w:r/>
      <w:bookmarkStart w:id="119" w:name="_Toc150509271"/>
      <w:r/>
      <w:bookmarkStart w:id="120" w:name="_Toc151193908"/>
      <w:r/>
      <w:bookmarkStart w:id="121" w:name="_Toc305158862"/>
      <w:r/>
      <w:bookmarkStart w:id="122" w:name="_Toc127151520"/>
      <w:r/>
      <w:bookmarkStart w:id="123" w:name="_Toc164608789"/>
      <w:r/>
      <w:bookmarkStart w:id="124" w:name="_Toc164608634"/>
      <w:r/>
      <w:bookmarkStart w:id="125" w:name="_Toc150774620"/>
      <w:r/>
      <w:bookmarkStart w:id="126" w:name="_Toc150480758"/>
      <w:r/>
      <w:bookmarkStart w:id="127" w:name="_Toc226309764"/>
      <w:r/>
      <w:bookmarkStart w:id="128" w:name="_Toc149720813"/>
      <w:r/>
      <w:bookmarkStart w:id="129" w:name="_Toc265228358"/>
      <w:r/>
      <w:bookmarkStart w:id="130" w:name="_Toc226965793"/>
      <w:r/>
      <w:bookmarkStart w:id="131" w:name="_Toc151193762"/>
      <w:r/>
      <w:bookmarkStart w:id="132" w:name="_Toc226337216"/>
      <w:r/>
      <w:bookmarkStart w:id="133" w:name="_Toc127161434"/>
      <w:r/>
      <w:bookmarkStart w:id="134" w:name="_Toc226965710"/>
      <w:r/>
      <w:bookmarkStart w:id="135" w:name="_Toc195842885"/>
      <w:r/>
      <w:bookmarkStart w:id="136" w:name="_Toc151193618"/>
      <w:r/>
      <w:bookmarkStart w:id="137" w:name="_Toc151193834"/>
      <w:r/>
      <w:bookmarkStart w:id="138" w:name="_Toc142311022"/>
      <w:r/>
      <w:bookmarkStart w:id="139" w:name="_Toc151190147"/>
      <w:r/>
      <w:bookmarkStart w:id="140" w:name="_Toc164351614"/>
      <w:r/>
      <w:bookmarkStart w:id="141" w:name="_Toc150774725"/>
      <w:r/>
      <w:bookmarkStart w:id="142" w:name="_Toc164229215"/>
      <w:r/>
      <w:bookmarkStart w:id="143" w:name="_Toc305158788"/>
      <w:r/>
      <w:bookmarkStart w:id="144" w:name="_Toc127151721"/>
      <w:r>
        <w:rPr>
          <w:rFonts w:hint="eastAsia"/>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color w:val="000000"/>
          <w:sz w:val="24"/>
          <w:highlight w:val="none"/>
        </w:rPr>
        <w:t xml:space="preserve">、项目属性、科研仪器设备采购</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现场考察、磋商前答疑会</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若《供应商须知资料表》中规定了组织现场考察、召开磋商前答疑会，则供应商应按要求在规定的时间和地点参加。</w:t>
      </w:r>
      <w:bookmarkStart w:id="145" w:name="_Toc151193910"/>
      <w:r/>
      <w:bookmarkStart w:id="146" w:name="_Toc151193620"/>
      <w:r/>
      <w:bookmarkStart w:id="147" w:name="_Toc305158790"/>
      <w:r/>
      <w:bookmarkStart w:id="148" w:name="_Toc226309766"/>
      <w:r/>
      <w:bookmarkStart w:id="149" w:name="_Toc520356146"/>
      <w:r/>
      <w:bookmarkStart w:id="150" w:name="_Toc226337218"/>
      <w:r/>
      <w:bookmarkStart w:id="151" w:name="_Toc226965795"/>
      <w:r/>
      <w:bookmarkStart w:id="152" w:name="_Toc265228360"/>
      <w:r/>
      <w:bookmarkStart w:id="153" w:name="_Toc150509273"/>
      <w:r/>
      <w:bookmarkStart w:id="154" w:name="_Toc151193692"/>
      <w:r/>
      <w:bookmarkStart w:id="155" w:name="_Toc264969212"/>
      <w:r/>
      <w:bookmarkStart w:id="156" w:name="_Toc150774727"/>
      <w:r/>
      <w:bookmarkStart w:id="157" w:name="_Toc305158864"/>
      <w:r/>
      <w:bookmarkStart w:id="158" w:name="_Toc151193764"/>
      <w:r/>
      <w:bookmarkStart w:id="159" w:name="_Toc142311024"/>
      <w:r/>
      <w:bookmarkStart w:id="160" w:name="_Toc226965712"/>
      <w:r/>
      <w:bookmarkStart w:id="161" w:name="_Toc150480760"/>
      <w:r/>
      <w:bookmarkStart w:id="162" w:name="_Toc127151522"/>
      <w:r/>
      <w:bookmarkStart w:id="163" w:name="_Toc151190149"/>
      <w:r/>
      <w:bookmarkStart w:id="164" w:name="_Toc150774622"/>
      <w:r/>
      <w:bookmarkStart w:id="165" w:name="_Toc195842887"/>
      <w:r/>
      <w:bookmarkStart w:id="166" w:name="_Toc151193836"/>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政府采购政策（包括但不限于下列具体政策要求）</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小微企业价格评审优惠的政策调整：见第三章《评审方法和评审标准》。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支持乡村产业振兴管理</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正版软件</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hint="eastAsia" w:ascii="宋体" w:hAnsi="宋体" w:cs="宋体"/>
          <w:b/>
          <w:bCs/>
          <w:color w:val="000000"/>
          <w:sz w:val="24"/>
          <w:highlight w:val="none"/>
        </w:rPr>
        <w:t xml:space="preserve">（本项目不涉及）</w:t>
      </w:r>
      <w:r>
        <w:rPr>
          <w:rFonts w:hint="eastAsia" w:ascii="宋体" w:hAnsi="宋体" w:cs="宋体"/>
          <w:color w:val="000000"/>
          <w:sz w:val="24"/>
          <w:highlight w:val="none"/>
        </w:rPr>
      </w:r>
      <w:r/>
    </w:p>
    <w:p>
      <w:pPr>
        <w:pStyle w:val="1041"/>
        <w:ind w:firstLine="482"/>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响应费用</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67" w:name="_1.8_计量单位"/>
      <w:r/>
      <w:bookmarkEnd w:id="167"/>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竞争性磋商文件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68" w:name="_Toc164608792"/>
      <w:r/>
      <w:bookmarkStart w:id="169" w:name="_Toc149720816"/>
      <w:r/>
      <w:bookmarkStart w:id="170" w:name="_Toc151193693"/>
      <w:r/>
      <w:bookmarkStart w:id="171" w:name="_Toc226337219"/>
      <w:r/>
      <w:bookmarkStart w:id="172" w:name="_Toc265228361"/>
      <w:r/>
      <w:bookmarkStart w:id="173" w:name="_Toc127161437"/>
      <w:r/>
      <w:bookmarkStart w:id="174" w:name="_Toc226309767"/>
      <w:r/>
      <w:bookmarkStart w:id="175" w:name="_Toc150509274"/>
      <w:r/>
      <w:bookmarkStart w:id="176" w:name="_Toc151193911"/>
      <w:r/>
      <w:bookmarkStart w:id="177" w:name="_Toc264969213"/>
      <w:r/>
      <w:bookmarkStart w:id="178" w:name="_Toc127151724"/>
      <w:r/>
      <w:bookmarkStart w:id="179" w:name="_Toc164351617"/>
      <w:r/>
      <w:bookmarkStart w:id="180" w:name="_Toc151193621"/>
      <w:r/>
      <w:bookmarkStart w:id="181" w:name="_Toc127151523"/>
      <w:r/>
      <w:bookmarkStart w:id="182" w:name="_Toc520356147"/>
      <w:r/>
      <w:bookmarkStart w:id="183" w:name="_Toc151193837"/>
      <w:r/>
      <w:bookmarkStart w:id="184" w:name="_Toc195842888"/>
      <w:r/>
      <w:bookmarkStart w:id="185" w:name="_Toc151190150"/>
      <w:r/>
      <w:bookmarkStart w:id="186" w:name="_Toc164229218"/>
      <w:r/>
      <w:bookmarkStart w:id="187" w:name="_Toc150480761"/>
      <w:r/>
      <w:bookmarkStart w:id="188" w:name="_Toc305158791"/>
      <w:r/>
      <w:bookmarkStart w:id="189" w:name="_Toc164229364"/>
      <w:r/>
      <w:bookmarkStart w:id="190" w:name="_Toc226965796"/>
      <w:r/>
      <w:bookmarkStart w:id="191" w:name="_Toc142311025"/>
      <w:r/>
      <w:bookmarkStart w:id="192" w:name="_Toc305158865"/>
      <w:r/>
      <w:bookmarkStart w:id="193" w:name="_Toc226965713"/>
      <w:r/>
      <w:bookmarkStart w:id="194" w:name="_Toc150774623"/>
      <w:r/>
      <w:bookmarkStart w:id="195" w:name="_Toc150774728"/>
      <w:r/>
      <w:bookmarkStart w:id="196" w:name="_Toc164608637"/>
      <w:r/>
      <w:bookmarkStart w:id="197" w:name="_Toc151193765"/>
      <w:r>
        <w:rPr>
          <w:rFonts w:hint="eastAsia"/>
          <w:color w:val="000000"/>
          <w:sz w:val="24"/>
          <w:highlight w:val="none"/>
        </w:rPr>
        <w:t xml:space="preserve">竞争性磋商文件构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color w:val="000000"/>
          <w:sz w:val="24"/>
          <w:highlight w:val="none"/>
        </w:rPr>
        <w:t xml:space="preserve">成</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竞争性磋商文件包括以下部分：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采购邀请</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供应商须知</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评审程序、评审方法和评审标准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合同草案条款</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响应文件格式</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对竞争性磋商文件的澄清或修改</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98" w:name="_Toc265228364"/>
      <w:r/>
      <w:bookmarkStart w:id="199" w:name="_Toc226965799"/>
      <w:r/>
      <w:bookmarkStart w:id="200" w:name="_Toc150480764"/>
      <w:r/>
      <w:bookmarkStart w:id="201" w:name="_Toc151193840"/>
      <w:r/>
      <w:bookmarkStart w:id="202" w:name="_Toc226309770"/>
      <w:r/>
      <w:bookmarkStart w:id="203" w:name="_Toc264969216"/>
      <w:r/>
      <w:bookmarkStart w:id="204" w:name="_Toc151193696"/>
      <w:r/>
      <w:bookmarkStart w:id="205" w:name="_Toc305158868"/>
      <w:r/>
      <w:bookmarkStart w:id="206" w:name="_Toc150774731"/>
      <w:r/>
      <w:bookmarkStart w:id="207" w:name="_Toc516367020"/>
      <w:r/>
      <w:bookmarkStart w:id="208" w:name="_Toc150774626"/>
      <w:r/>
      <w:bookmarkStart w:id="209" w:name="_Toc151193914"/>
      <w:r/>
      <w:bookmarkStart w:id="210" w:name="_Toc142311028"/>
      <w:r/>
      <w:bookmarkStart w:id="211" w:name="_Toc195842891"/>
      <w:r/>
      <w:bookmarkStart w:id="212" w:name="_Toc127151526"/>
      <w:r/>
      <w:bookmarkStart w:id="213" w:name="_Toc150509277"/>
      <w:r/>
      <w:bookmarkStart w:id="214" w:name="_Toc151193624"/>
      <w:r/>
      <w:bookmarkStart w:id="215" w:name="_Toc520356150"/>
      <w:r/>
      <w:bookmarkStart w:id="216" w:name="_Toc226965716"/>
      <w:r/>
      <w:bookmarkStart w:id="217" w:name="_Toc305158794"/>
      <w:r/>
      <w:bookmarkStart w:id="218" w:name="_Toc151193768"/>
      <w:r/>
      <w:bookmarkStart w:id="219" w:name="_Toc151190153"/>
      <w:r/>
      <w:bookmarkStart w:id="220" w:name="_Toc22633722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响应文件</w:t>
      </w:r>
      <w:bookmarkEnd w:id="207"/>
      <w:r>
        <w:rPr>
          <w:rFonts w:hint="eastAsia" w:ascii="宋体" w:hAnsi="宋体"/>
          <w:b/>
          <w:bCs/>
          <w:color w:val="000000"/>
          <w:sz w:val="28"/>
          <w:szCs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21" w:name="_Toc164229222"/>
      <w:r/>
      <w:bookmarkStart w:id="222" w:name="_Toc226965717"/>
      <w:r/>
      <w:bookmarkStart w:id="223" w:name="_Toc151190154"/>
      <w:r/>
      <w:bookmarkStart w:id="224" w:name="_Toc150509278"/>
      <w:r/>
      <w:bookmarkStart w:id="225" w:name="_Toc520356151"/>
      <w:r/>
      <w:bookmarkStart w:id="226" w:name="_Toc149720820"/>
      <w:r/>
      <w:bookmarkStart w:id="227" w:name="_Toc151193841"/>
      <w:r/>
      <w:bookmarkStart w:id="228" w:name="_Toc150480765"/>
      <w:r/>
      <w:bookmarkStart w:id="229" w:name="_Toc151193625"/>
      <w:r/>
      <w:bookmarkStart w:id="230" w:name="_Toc226337223"/>
      <w:r/>
      <w:bookmarkStart w:id="231" w:name="_Toc164351621"/>
      <w:r/>
      <w:bookmarkStart w:id="232" w:name="_Toc264969217"/>
      <w:r/>
      <w:bookmarkStart w:id="233" w:name="_Toc226965800"/>
      <w:r/>
      <w:bookmarkStart w:id="234" w:name="_Toc150774732"/>
      <w:r/>
      <w:bookmarkStart w:id="235" w:name="_Toc305158795"/>
      <w:r/>
      <w:bookmarkStart w:id="236" w:name="_Toc142311029"/>
      <w:r/>
      <w:bookmarkStart w:id="237" w:name="_Toc305158869"/>
      <w:r/>
      <w:bookmarkStart w:id="238" w:name="_Toc150774627"/>
      <w:r/>
      <w:bookmarkStart w:id="239" w:name="_Toc164608641"/>
      <w:r/>
      <w:bookmarkStart w:id="240" w:name="_Toc226309771"/>
      <w:r/>
      <w:bookmarkStart w:id="241" w:name="_Toc151193915"/>
      <w:r/>
      <w:bookmarkStart w:id="242" w:name="_Toc127161441"/>
      <w:r/>
      <w:bookmarkStart w:id="243" w:name="_Toc151193697"/>
      <w:r/>
      <w:bookmarkStart w:id="244" w:name="_Toc195842892"/>
      <w:r/>
      <w:bookmarkStart w:id="245" w:name="_Toc164608796"/>
      <w:r/>
      <w:bookmarkStart w:id="246" w:name="_Toc151193769"/>
      <w:r/>
      <w:bookmarkStart w:id="247" w:name="_Toc127151728"/>
      <w:r/>
      <w:bookmarkStart w:id="248" w:name="_Toc164229368"/>
      <w:r/>
      <w:bookmarkStart w:id="249" w:name="_Toc516367021"/>
      <w:r/>
      <w:bookmarkStart w:id="250" w:name="_Toc127151527"/>
      <w:r/>
      <w:bookmarkStart w:id="251" w:name="_Toc265228365"/>
      <w:r>
        <w:rPr>
          <w:rFonts w:hint="eastAsia"/>
          <w:color w:val="000000"/>
          <w:sz w:val="24"/>
          <w:highlight w:val="none"/>
        </w:rPr>
        <w:t xml:space="preserve">响应范围、竞争性磋商文件中计量单位的使用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color w:val="000000"/>
          <w:sz w:val="24"/>
          <w:highlight w:val="none"/>
        </w:rPr>
        <w:t xml:space="preserve">及磋商语言</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52" w:name="_Toc164229223"/>
      <w:r/>
      <w:bookmarkStart w:id="253" w:name="_Toc150480766"/>
      <w:r/>
      <w:bookmarkStart w:id="254" w:name="_Toc195842893"/>
      <w:r/>
      <w:bookmarkStart w:id="255" w:name="_Toc164608642"/>
      <w:r/>
      <w:bookmarkStart w:id="256" w:name="_Toc164351622"/>
      <w:r/>
      <w:bookmarkStart w:id="257" w:name="_Toc151193770"/>
      <w:r/>
      <w:bookmarkStart w:id="258" w:name="_Toc151193626"/>
      <w:r/>
      <w:bookmarkStart w:id="259" w:name="_Toc150509279"/>
      <w:r/>
      <w:bookmarkStart w:id="260" w:name="_Toc305158870"/>
      <w:r/>
      <w:bookmarkStart w:id="261" w:name="_Toc164608797"/>
      <w:r/>
      <w:bookmarkStart w:id="262" w:name="_Toc265228366"/>
      <w:r/>
      <w:bookmarkStart w:id="263" w:name="_Toc151193842"/>
      <w:r/>
      <w:bookmarkStart w:id="264" w:name="_Toc127151528"/>
      <w:r/>
      <w:bookmarkStart w:id="265" w:name="_Toc226309772"/>
      <w:r/>
      <w:bookmarkStart w:id="266" w:name="_Toc226337224"/>
      <w:r/>
      <w:bookmarkStart w:id="267" w:name="_Toc127151729"/>
      <w:r/>
      <w:bookmarkStart w:id="268" w:name="_Toc150774733"/>
      <w:r/>
      <w:bookmarkStart w:id="269" w:name="_Ref467306676"/>
      <w:r/>
      <w:bookmarkStart w:id="270" w:name="_Toc226965801"/>
      <w:r/>
      <w:bookmarkStart w:id="271" w:name="_Toc127161442"/>
      <w:r/>
      <w:bookmarkStart w:id="272" w:name="_Ref467306195"/>
      <w:r/>
      <w:bookmarkStart w:id="273" w:name="_Toc305158796"/>
      <w:r/>
      <w:bookmarkStart w:id="274" w:name="_Toc516367022"/>
      <w:r/>
      <w:bookmarkStart w:id="275" w:name="_Toc164229369"/>
      <w:r/>
      <w:bookmarkStart w:id="276" w:name="_Toc149720821"/>
      <w:r/>
      <w:bookmarkStart w:id="277" w:name="_Toc151193698"/>
      <w:r/>
      <w:bookmarkStart w:id="278" w:name="_Toc264969218"/>
      <w:r/>
      <w:bookmarkStart w:id="279" w:name="_Toc151190155"/>
      <w:r/>
      <w:bookmarkStart w:id="280" w:name="_Toc142311030"/>
      <w:r/>
      <w:bookmarkStart w:id="281" w:name="_Toc150774628"/>
      <w:r/>
      <w:bookmarkStart w:id="282" w:name="_Toc520356152"/>
      <w:r/>
      <w:bookmarkStart w:id="283" w:name="_Toc151193916"/>
      <w:r/>
      <w:bookmarkStart w:id="284" w:name="_Toc226965718"/>
      <w:r>
        <w:rPr>
          <w:rFonts w:hint="eastAsia"/>
          <w:color w:val="000000"/>
          <w:sz w:val="24"/>
          <w:highlight w:val="none"/>
        </w:rPr>
        <w:t xml:space="preserve">响应文件</w:t>
      </w:r>
      <w:bookmarkEnd w:id="269"/>
      <w:r/>
      <w:bookmarkEnd w:id="272"/>
      <w:r/>
      <w:bookmarkEnd w:id="274"/>
      <w:r>
        <w:rPr>
          <w:rFonts w:hint="eastAsia"/>
          <w:color w:val="000000"/>
          <w:sz w:val="24"/>
          <w:highlight w:val="none"/>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70"/>
      <w:r/>
      <w:bookmarkEnd w:id="271"/>
      <w:r/>
      <w:bookmarkEnd w:id="273"/>
      <w:r/>
      <w:bookmarkEnd w:id="275"/>
      <w:r/>
      <w:bookmarkEnd w:id="276"/>
      <w:r/>
      <w:bookmarkEnd w:id="277"/>
      <w:r/>
      <w:bookmarkEnd w:id="278"/>
      <w:r/>
      <w:bookmarkEnd w:id="279"/>
      <w:r/>
      <w:bookmarkEnd w:id="280"/>
      <w:r/>
      <w:bookmarkEnd w:id="281"/>
      <w:r/>
      <w:bookmarkEnd w:id="282"/>
      <w:r/>
      <w:bookmarkEnd w:id="283"/>
      <w:r/>
      <w:bookmarkEnd w:id="284"/>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供应商应当按照竞争性磋商文件的要求编制响应文件，</w:t>
      </w:r>
      <w:r>
        <w:rPr>
          <w:rFonts w:hint="eastAsia" w:ascii="宋体" w:hAnsi="宋体" w:cs="宋体"/>
          <w:color w:val="000000"/>
          <w:sz w:val="24"/>
          <w:highlight w:val="none"/>
        </w:rPr>
        <w:t xml:space="preserve">并对其提交的响应文件的真实性、合法性承担法律责任</w:t>
      </w:r>
      <w:r>
        <w:rPr>
          <w:rFonts w:hint="eastAsia" w:ascii="宋体" w:hAnsi="宋体" w:cs="宋体"/>
          <w:color w:val="000000"/>
          <w:sz w:val="24"/>
          <w:highlight w:val="none"/>
        </w:rPr>
        <w:t xml:space="preserve">。响应文件的部分格式要求，见第六章《响应文件格式》。</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对于竞争性磋商文件中标记了“实质性格式”文件的，</w:t>
      </w:r>
      <w:r>
        <w:rPr>
          <w:rFonts w:hint="eastAsia" w:ascii="宋体" w:hAnsi="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第三章《评审方法和评审标准》中涉及的证明文件。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5"/>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86" w:name="_Toc164229225"/>
      <w:r/>
      <w:bookmarkStart w:id="287" w:name="_Toc164351624"/>
      <w:r/>
      <w:bookmarkStart w:id="288" w:name="_Toc164608799"/>
      <w:r/>
      <w:bookmarkStart w:id="289" w:name="_Toc151193844"/>
      <w:r/>
      <w:bookmarkStart w:id="290" w:name="_Toc150774630"/>
      <w:r/>
      <w:bookmarkStart w:id="291" w:name="_Toc150480768"/>
      <w:r/>
      <w:bookmarkStart w:id="292" w:name="_Toc151193628"/>
      <w:r/>
      <w:bookmarkStart w:id="293" w:name="_Toc127151530"/>
      <w:r/>
      <w:bookmarkStart w:id="294" w:name="_Toc150774735"/>
      <w:r/>
      <w:bookmarkStart w:id="295" w:name="_Toc151193700"/>
      <w:r/>
      <w:bookmarkStart w:id="296" w:name="_Toc151190157"/>
      <w:r/>
      <w:bookmarkStart w:id="297" w:name="_Toc127161444"/>
      <w:r/>
      <w:bookmarkStart w:id="298" w:name="_Toc151193772"/>
      <w:r/>
      <w:bookmarkStart w:id="299" w:name="_Toc149720823"/>
      <w:r/>
      <w:bookmarkStart w:id="300" w:name="_Toc150509281"/>
      <w:r/>
      <w:bookmarkStart w:id="301" w:name="_Toc520356155"/>
      <w:r/>
      <w:bookmarkStart w:id="302" w:name="_Toc164229371"/>
      <w:r/>
      <w:bookmarkStart w:id="303" w:name="_Toc151193918"/>
      <w:r/>
      <w:bookmarkStart w:id="304" w:name="_Toc142311032"/>
      <w:r/>
      <w:bookmarkStart w:id="305" w:name="_Toc164608644"/>
      <w:r/>
      <w:bookmarkStart w:id="306" w:name="_Toc195842895"/>
      <w:r/>
      <w:bookmarkStart w:id="307" w:name="_Toc127151731"/>
      <w:r>
        <w:rPr>
          <w:rFonts w:hint="eastAsia"/>
          <w:color w:val="000000"/>
          <w:sz w:val="24"/>
          <w:highlight w:val="none"/>
        </w:rPr>
        <w:t xml:space="preserve">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所有响应均以人民币报价。</w:t>
      </w:r>
      <w:r>
        <w:rPr>
          <w:rFonts w:hint="eastAsia" w:ascii="宋体" w:hAnsi="宋体" w:cs="宋体"/>
          <w:color w:val="000000"/>
          <w:sz w:val="24"/>
          <w:highlight w:val="none"/>
        </w:rPr>
      </w:r>
      <w:r/>
    </w:p>
    <w:p>
      <w:pPr>
        <w:pStyle w:val="1041"/>
        <w:numPr>
          <w:ilvl w:val="1"/>
          <w:numId w:val="9"/>
        </w:numPr>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按照竞争性磋商文件要求完成本项目的全部相关服务费用。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供应商不能提供任何有选择性或可调整的最终报价（</w:t>
      </w:r>
      <w:r>
        <w:rPr>
          <w:rFonts w:hint="eastAsia" w:ascii="宋体" w:hAnsi="宋体" w:cs="宋体"/>
          <w:color w:val="000000"/>
          <w:sz w:val="24"/>
          <w:highlight w:val="none"/>
        </w:rPr>
        <w:t xml:space="preserve">竞争性磋商文件</w:t>
      </w:r>
      <w:r>
        <w:rPr>
          <w:rFonts w:hint="eastAsia" w:ascii="宋体" w:hAnsi="宋体" w:cs="宋体"/>
          <w:color w:val="000000"/>
          <w:sz w:val="24"/>
          <w:highlight w:val="none"/>
        </w:rPr>
        <w:t xml:space="preserve">另有规定的除外），否则其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磋商保证金</w:t>
      </w:r>
      <w:r>
        <w:rPr>
          <w:rFonts w:hint="eastAsia"/>
          <w:color w:val="000000"/>
          <w:sz w:val="24"/>
          <w:highlight w:val="none"/>
        </w:rPr>
      </w:r>
      <w:r/>
    </w:p>
    <w:p>
      <w:pPr>
        <w:pStyle w:val="1041"/>
        <w:ind w:firstLine="36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根据江苏省和常州市的相关文件规定，免收保证金。</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响应有效期</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08" w:name="_Toc164351627"/>
      <w:r/>
      <w:bookmarkStart w:id="309" w:name="_Toc164608647"/>
      <w:r/>
      <w:bookmarkStart w:id="310" w:name="_Toc127151734"/>
      <w:r/>
      <w:bookmarkStart w:id="311" w:name="_Toc164229228"/>
      <w:r/>
      <w:bookmarkStart w:id="312" w:name="_Toc151193847"/>
      <w:r/>
      <w:bookmarkStart w:id="313" w:name="_Toc520356158"/>
      <w:r/>
      <w:bookmarkStart w:id="314" w:name="_Toc226309777"/>
      <w:r/>
      <w:bookmarkStart w:id="315" w:name="_Toc151193921"/>
      <w:r/>
      <w:bookmarkStart w:id="316" w:name="_Toc149720826"/>
      <w:r/>
      <w:bookmarkStart w:id="317" w:name="_Toc150480771"/>
      <w:r/>
      <w:bookmarkStart w:id="318" w:name="_Toc127151533"/>
      <w:r/>
      <w:bookmarkStart w:id="319" w:name="_Toc151193703"/>
      <w:r/>
      <w:bookmarkStart w:id="320" w:name="_Toc226965806"/>
      <w:r/>
      <w:bookmarkStart w:id="321" w:name="_Toc164608802"/>
      <w:r/>
      <w:bookmarkStart w:id="322" w:name="_Toc151190160"/>
      <w:r/>
      <w:bookmarkStart w:id="323" w:name="_Toc142311035"/>
      <w:r/>
      <w:bookmarkStart w:id="324" w:name="_Toc226337229"/>
      <w:r/>
      <w:bookmarkStart w:id="325" w:name="_Toc150774738"/>
      <w:r/>
      <w:bookmarkStart w:id="326" w:name="_Toc305158801"/>
      <w:r/>
      <w:bookmarkStart w:id="327" w:name="_Toc127161447"/>
      <w:r/>
      <w:bookmarkStart w:id="328" w:name="_Toc150774633"/>
      <w:r/>
      <w:bookmarkStart w:id="329" w:name="_Toc150509284"/>
      <w:r/>
      <w:bookmarkStart w:id="330" w:name="_Toc265228371"/>
      <w:r/>
      <w:bookmarkStart w:id="331" w:name="_Toc151193775"/>
      <w:r/>
      <w:bookmarkStart w:id="332" w:name="_Toc305158875"/>
      <w:r/>
      <w:bookmarkStart w:id="333" w:name="_Toc226965723"/>
      <w:r/>
      <w:bookmarkStart w:id="334" w:name="_Toc264969223"/>
      <w:r/>
      <w:bookmarkStart w:id="335" w:name="_Toc164229374"/>
      <w:r/>
      <w:bookmarkStart w:id="336" w:name="_Toc195842898"/>
      <w:r/>
      <w:bookmarkStart w:id="337" w:name="_Toc151193631"/>
      <w:r>
        <w:rPr>
          <w:rFonts w:hint="eastAsia"/>
          <w:color w:val="000000"/>
          <w:sz w:val="24"/>
          <w:highlight w:val="none"/>
        </w:rPr>
        <w:t xml:space="preserve">响应文件的签署</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color w:val="000000"/>
          <w:sz w:val="24"/>
          <w:highlight w:val="none"/>
        </w:rPr>
        <w:t xml:space="preserve">、盖章</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竞争性磋商文件要求盖章的内容，一般通过磋商响应文件编制工具加盖电子签章。</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338" w:name="_Toc226309778"/>
      <w:r/>
      <w:bookmarkStart w:id="339" w:name="_Toc127151534"/>
      <w:r/>
      <w:bookmarkStart w:id="340" w:name="_Toc226965724"/>
      <w:r/>
      <w:bookmarkStart w:id="341" w:name="_Toc151190161"/>
      <w:r/>
      <w:bookmarkStart w:id="342" w:name="_Toc151193848"/>
      <w:r/>
      <w:bookmarkStart w:id="343" w:name="_Toc195842899"/>
      <w:r/>
      <w:bookmarkStart w:id="344" w:name="_Toc150774634"/>
      <w:r/>
      <w:bookmarkStart w:id="345" w:name="_Toc264969224"/>
      <w:r/>
      <w:bookmarkStart w:id="346" w:name="_Toc265228372"/>
      <w:r/>
      <w:bookmarkStart w:id="347" w:name="_Toc150774739"/>
      <w:r/>
      <w:bookmarkStart w:id="348" w:name="_Toc305158802"/>
      <w:r/>
      <w:bookmarkStart w:id="349" w:name="_Toc142311036"/>
      <w:r/>
      <w:bookmarkStart w:id="350" w:name="_Toc150509285"/>
      <w:r/>
      <w:bookmarkStart w:id="351" w:name="_Toc520356159"/>
      <w:r/>
      <w:bookmarkStart w:id="352" w:name="_Toc226965807"/>
      <w:r/>
      <w:bookmarkStart w:id="353" w:name="_Toc150480772"/>
      <w:r/>
      <w:bookmarkStart w:id="354" w:name="_Toc151193922"/>
      <w:r/>
      <w:bookmarkStart w:id="355" w:name="_Toc226337230"/>
      <w:r/>
      <w:bookmarkStart w:id="356" w:name="_Toc305158876"/>
      <w:r/>
      <w:bookmarkStart w:id="357" w:name="_Toc151193776"/>
      <w:r/>
      <w:bookmarkStart w:id="358" w:name="_Toc151193704"/>
      <w:r/>
      <w:bookmarkStart w:id="359" w:name="_Toc15119363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响应文件的提交</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60" w:name="_Toc164608649"/>
      <w:r/>
      <w:bookmarkStart w:id="361" w:name="_Toc226337231"/>
      <w:r/>
      <w:bookmarkStart w:id="362" w:name="_Toc151193849"/>
      <w:r/>
      <w:bookmarkStart w:id="363" w:name="_Toc164229376"/>
      <w:r/>
      <w:bookmarkStart w:id="364" w:name="_Toc151193923"/>
      <w:r/>
      <w:bookmarkStart w:id="365" w:name="_Toc151193705"/>
      <w:r/>
      <w:bookmarkStart w:id="366" w:name="_Toc520356160"/>
      <w:r/>
      <w:bookmarkStart w:id="367" w:name="_Toc127161449"/>
      <w:r/>
      <w:bookmarkStart w:id="368" w:name="_Toc150509286"/>
      <w:r/>
      <w:bookmarkStart w:id="369" w:name="_Toc164608804"/>
      <w:r/>
      <w:bookmarkStart w:id="370" w:name="_Toc195842900"/>
      <w:r/>
      <w:bookmarkStart w:id="371" w:name="_Toc127151736"/>
      <w:r/>
      <w:bookmarkStart w:id="372" w:name="_Toc151193777"/>
      <w:r/>
      <w:bookmarkStart w:id="373" w:name="_Toc305158803"/>
      <w:r/>
      <w:bookmarkStart w:id="374" w:name="_Toc164229230"/>
      <w:r/>
      <w:bookmarkStart w:id="375" w:name="_Toc226965725"/>
      <w:r/>
      <w:bookmarkStart w:id="376" w:name="_Toc142311037"/>
      <w:r/>
      <w:bookmarkStart w:id="377" w:name="_Toc226309779"/>
      <w:r/>
      <w:bookmarkStart w:id="378" w:name="_Toc149720828"/>
      <w:r/>
      <w:bookmarkStart w:id="379" w:name="_Toc127151535"/>
      <w:r/>
      <w:bookmarkStart w:id="380" w:name="_Toc265228373"/>
      <w:r/>
      <w:bookmarkStart w:id="381" w:name="_Toc150480773"/>
      <w:r/>
      <w:bookmarkStart w:id="382" w:name="_Toc305158877"/>
      <w:r/>
      <w:bookmarkStart w:id="383" w:name="_Toc226965808"/>
      <w:r/>
      <w:bookmarkStart w:id="384" w:name="_Toc151190162"/>
      <w:r/>
      <w:bookmarkStart w:id="385" w:name="_Toc150774740"/>
      <w:r/>
      <w:bookmarkStart w:id="386" w:name="_Toc164351629"/>
      <w:r/>
      <w:bookmarkStart w:id="387" w:name="_Toc264969225"/>
      <w:r/>
      <w:bookmarkStart w:id="388" w:name="_Toc151193633"/>
      <w:r/>
      <w:bookmarkStart w:id="389" w:name="_Toc150774635"/>
      <w:r>
        <w:rPr>
          <w:rFonts w:hint="eastAsia"/>
          <w:color w:val="000000"/>
          <w:sz w:val="24"/>
          <w:highlight w:val="none"/>
        </w:rPr>
        <w:t xml:space="preserve">响应文件的提交</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本项目使用“苏采云”政府采购一体化平台。供应商根据竞争性磋商文件及“苏采云”政府采购一体化平台供应商操作手册要求编制、生成并提交电子响应文件。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采购人及采购代理机构拒绝接受通过电子交易平台以外任何形式提交的响应文件。</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响应文件截止时间</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供应商应在竞争性磋商文件要求提交响应文件截止时间前，将电子响应文件提交至“苏采云”政府采购一体化平台。</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响应文件的修改与撤回</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390" w:name="_Toc264969228"/>
      <w:r/>
      <w:bookmarkStart w:id="391" w:name="_Toc195842903"/>
      <w:r/>
      <w:bookmarkStart w:id="392" w:name="_Toc150774743"/>
      <w:r/>
      <w:bookmarkStart w:id="393" w:name="_Toc142311040"/>
      <w:r/>
      <w:bookmarkStart w:id="394" w:name="_Toc305158880"/>
      <w:r/>
      <w:bookmarkStart w:id="395" w:name="_Toc151190165"/>
      <w:r/>
      <w:bookmarkStart w:id="396" w:name="_Toc151193636"/>
      <w:r/>
      <w:bookmarkStart w:id="397" w:name="_Toc151193852"/>
      <w:r/>
      <w:bookmarkStart w:id="398" w:name="_Toc150509289"/>
      <w:r/>
      <w:bookmarkStart w:id="399" w:name="_Toc226337234"/>
      <w:r/>
      <w:bookmarkStart w:id="400" w:name="_Toc226309782"/>
      <w:r/>
      <w:bookmarkStart w:id="401" w:name="_Toc265228376"/>
      <w:r/>
      <w:bookmarkStart w:id="402" w:name="_Toc305158806"/>
      <w:r/>
      <w:bookmarkStart w:id="403" w:name="_Toc226965811"/>
      <w:r/>
      <w:bookmarkStart w:id="404" w:name="_Toc520356163"/>
      <w:r/>
      <w:bookmarkStart w:id="405" w:name="_Toc150480776"/>
      <w:r/>
      <w:bookmarkStart w:id="406" w:name="_Toc151193780"/>
      <w:r/>
      <w:bookmarkStart w:id="407" w:name="_Toc150774638"/>
      <w:r/>
      <w:bookmarkStart w:id="408" w:name="_Toc151193708"/>
      <w:r/>
      <w:bookmarkStart w:id="409" w:name="_Toc127151538"/>
      <w:r/>
      <w:bookmarkStart w:id="410" w:name="_Toc226965728"/>
      <w:r/>
      <w:bookmarkStart w:id="411" w:name="_Toc151193926"/>
      <w:r>
        <w:rPr>
          <w:rFonts w:hint="eastAsia" w:ascii="宋体" w:hAnsi="宋体"/>
          <w:b/>
          <w:bCs/>
          <w:color w:val="000000"/>
          <w:sz w:val="28"/>
          <w:szCs w:val="28"/>
          <w:highlight w:val="none"/>
        </w:rPr>
        <w:t xml:space="preserve">五   </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b/>
          <w:bCs/>
          <w:color w:val="000000"/>
          <w:sz w:val="28"/>
          <w:szCs w:val="28"/>
          <w:highlight w:val="none"/>
        </w:rPr>
        <w:t xml:space="preserve">评审</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1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13" w:name="_Toc520356165"/>
      <w:r>
        <w:rPr>
          <w:color w:val="000000"/>
          <w:sz w:val="24"/>
          <w:highlight w:val="none"/>
        </w:rPr>
        <w:t xml:space="preserve">本项目不公开报价。</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41"/>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End w:id="413"/>
      <w:r>
        <w:rPr>
          <w:color w:val="000000"/>
          <w:sz w:val="24"/>
          <w:highlight w:val="none"/>
        </w:rPr>
        <w:t xml:space="preserve">磋商小组</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14" w:name="_Toc520356166"/>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14"/>
      <w:r>
        <w:rPr>
          <w:color w:val="000000"/>
          <w:sz w:val="24"/>
          <w:highlight w:val="none"/>
        </w:rPr>
      </w:r>
      <w:r/>
    </w:p>
    <w:p>
      <w:pPr>
        <w:pStyle w:val="1041"/>
        <w:numPr>
          <w:ilvl w:val="0"/>
          <w:numId w:val="9"/>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415" w:name="_Toc150774645"/>
      <w:r/>
      <w:bookmarkStart w:id="416" w:name="_Toc151193715"/>
      <w:r/>
      <w:bookmarkStart w:id="417" w:name="_Toc265228383"/>
      <w:r/>
      <w:bookmarkStart w:id="418" w:name="_Toc226965818"/>
      <w:r/>
      <w:bookmarkStart w:id="419" w:name="_Toc195842910"/>
      <w:r/>
      <w:bookmarkStart w:id="420" w:name="_Toc305158887"/>
      <w:r/>
      <w:bookmarkStart w:id="421" w:name="_Toc150509296"/>
      <w:r/>
      <w:bookmarkStart w:id="422" w:name="_Toc226309789"/>
      <w:r/>
      <w:bookmarkStart w:id="423" w:name="_Toc151193859"/>
      <w:r/>
      <w:bookmarkStart w:id="424" w:name="_Toc264969235"/>
      <w:r/>
      <w:bookmarkStart w:id="425" w:name="_Toc226337241"/>
      <w:r/>
      <w:bookmarkStart w:id="426" w:name="_Toc151193933"/>
      <w:r/>
      <w:bookmarkStart w:id="427" w:name="_Toc150774750"/>
      <w:r/>
      <w:bookmarkStart w:id="428" w:name="_Toc151190172"/>
      <w:r/>
      <w:bookmarkStart w:id="429" w:name="_Toc127151545"/>
      <w:r/>
      <w:bookmarkStart w:id="430" w:name="_Toc142311047"/>
      <w:r/>
      <w:bookmarkStart w:id="431" w:name="_Toc150480783"/>
      <w:r/>
      <w:bookmarkStart w:id="432" w:name="_Toc305158813"/>
      <w:r/>
      <w:bookmarkStart w:id="433" w:name="_Toc151193787"/>
      <w:r/>
      <w:bookmarkStart w:id="434" w:name="_Toc226965735"/>
      <w:r/>
      <w:bookmarkStart w:id="435" w:name="_Toc151193643"/>
      <w:r>
        <w:rPr>
          <w:rFonts w:hint="eastAsia" w:ascii="宋体" w:hAnsi="宋体"/>
          <w:b/>
          <w:bCs/>
          <w:color w:val="000000"/>
          <w:sz w:val="28"/>
          <w:szCs w:val="28"/>
          <w:highlight w:val="none"/>
        </w:rPr>
        <w:t xml:space="preserve">六   </w:t>
      </w:r>
      <w:bookmarkEnd w:id="412"/>
      <w:r>
        <w:rPr>
          <w:rFonts w:hint="eastAsia" w:ascii="宋体" w:hAnsi="宋体"/>
          <w:b/>
          <w:bCs/>
          <w:color w:val="000000"/>
          <w:sz w:val="28"/>
          <w:szCs w:val="28"/>
          <w:highlight w:val="none"/>
        </w:rPr>
        <w:t xml:space="preserve">确定</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b/>
          <w:bCs/>
          <w:color w:val="000000"/>
          <w:sz w:val="28"/>
          <w:szCs w:val="28"/>
          <w:highlight w:val="none"/>
        </w:rPr>
        <w:t xml:space="preserve">成交</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36" w:name="_Toc151193717"/>
      <w:r/>
      <w:bookmarkStart w:id="437" w:name="_Toc164608661"/>
      <w:r/>
      <w:bookmarkStart w:id="438" w:name="_Toc127161461"/>
      <w:r/>
      <w:bookmarkStart w:id="439" w:name="_Toc195842912"/>
      <w:r/>
      <w:bookmarkStart w:id="440" w:name="_Toc265228385"/>
      <w:r/>
      <w:bookmarkStart w:id="441" w:name="_Toc127151748"/>
      <w:r/>
      <w:bookmarkStart w:id="442" w:name="_Toc305158889"/>
      <w:r/>
      <w:bookmarkStart w:id="443" w:name="_Toc151193861"/>
      <w:r/>
      <w:bookmarkStart w:id="444" w:name="_Toc264969237"/>
      <w:r/>
      <w:bookmarkStart w:id="445" w:name="_Toc164229388"/>
      <w:r/>
      <w:bookmarkStart w:id="446" w:name="_Toc149720840"/>
      <w:r/>
      <w:bookmarkStart w:id="447" w:name="_Toc150480785"/>
      <w:r/>
      <w:bookmarkStart w:id="448" w:name="_Toc164229242"/>
      <w:r/>
      <w:bookmarkStart w:id="449" w:name="_Toc151190174"/>
      <w:r/>
      <w:bookmarkStart w:id="450" w:name="_Toc150509298"/>
      <w:r/>
      <w:bookmarkStart w:id="451" w:name="_Toc226309791"/>
      <w:r/>
      <w:bookmarkStart w:id="452" w:name="_Toc150774647"/>
      <w:r/>
      <w:bookmarkStart w:id="453" w:name="_Toc151193935"/>
      <w:r/>
      <w:bookmarkStart w:id="454" w:name="_Toc164351641"/>
      <w:r/>
      <w:bookmarkStart w:id="455" w:name="_Toc305158815"/>
      <w:r/>
      <w:bookmarkStart w:id="456" w:name="_Toc151193645"/>
      <w:r/>
      <w:bookmarkStart w:id="457" w:name="_Toc226337243"/>
      <w:r/>
      <w:bookmarkStart w:id="458" w:name="_Toc226965820"/>
      <w:r/>
      <w:bookmarkStart w:id="459" w:name="_Toc151193789"/>
      <w:r/>
      <w:bookmarkStart w:id="460" w:name="_Toc150774752"/>
      <w:r/>
      <w:bookmarkStart w:id="461" w:name="_Toc226965737"/>
      <w:r/>
      <w:bookmarkStart w:id="462" w:name="_Toc142311049"/>
      <w:r/>
      <w:bookmarkStart w:id="463" w:name="_Toc127151547"/>
      <w:r/>
      <w:bookmarkStart w:id="464" w:name="_Toc164608816"/>
      <w:r>
        <w:rPr>
          <w:rFonts w:hint="eastAsia" w:ascii="宋体" w:hAnsi="宋体" w:cs="宋体"/>
          <w:color w:val="000000"/>
          <w:sz w:val="24"/>
          <w:highlight w:val="none"/>
        </w:rPr>
        <w:t xml:space="preserve">确定成交供应商</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65" w:name="_Toc226965739"/>
      <w:r/>
      <w:bookmarkStart w:id="466" w:name="_Toc150774754"/>
      <w:r/>
      <w:bookmarkStart w:id="467" w:name="_Toc127151750"/>
      <w:r/>
      <w:bookmarkStart w:id="468" w:name="_Toc164608663"/>
      <w:r/>
      <w:bookmarkStart w:id="469" w:name="_Toc151193863"/>
      <w:r/>
      <w:bookmarkStart w:id="470" w:name="_Toc164351643"/>
      <w:r/>
      <w:bookmarkStart w:id="471" w:name="_Toc149720842"/>
      <w:r/>
      <w:bookmarkStart w:id="472" w:name="_Toc226309793"/>
      <w:r/>
      <w:bookmarkStart w:id="473" w:name="_Toc226965822"/>
      <w:r/>
      <w:bookmarkStart w:id="474" w:name="_Toc226337245"/>
      <w:r/>
      <w:bookmarkStart w:id="475" w:name="_Toc164608818"/>
      <w:r/>
      <w:bookmarkStart w:id="476" w:name="_Toc150774649"/>
      <w:r/>
      <w:bookmarkStart w:id="477" w:name="_Toc164229244"/>
      <w:r/>
      <w:bookmarkStart w:id="478" w:name="_Toc151193647"/>
      <w:r/>
      <w:bookmarkStart w:id="479" w:name="_Toc151190176"/>
      <w:r/>
      <w:bookmarkStart w:id="480" w:name="_Toc305158817"/>
      <w:r/>
      <w:bookmarkStart w:id="481" w:name="_Ref467307090"/>
      <w:r/>
      <w:bookmarkStart w:id="482" w:name="_Toc520356176"/>
      <w:r/>
      <w:bookmarkStart w:id="483" w:name="_Ref467306425"/>
      <w:r/>
      <w:bookmarkStart w:id="484" w:name="_Toc305158891"/>
      <w:r/>
      <w:bookmarkStart w:id="485" w:name="_Toc264969239"/>
      <w:r/>
      <w:bookmarkStart w:id="486" w:name="_Toc164229390"/>
      <w:r/>
      <w:bookmarkStart w:id="487" w:name="_Toc195842914"/>
      <w:r/>
      <w:bookmarkStart w:id="488" w:name="_Toc127151549"/>
      <w:r/>
      <w:bookmarkStart w:id="489" w:name="_Toc142311051"/>
      <w:r/>
      <w:bookmarkStart w:id="490" w:name="_Toc151193937"/>
      <w:r/>
      <w:bookmarkStart w:id="491" w:name="_Toc127161463"/>
      <w:r/>
      <w:bookmarkStart w:id="492" w:name="_Toc151193791"/>
      <w:r/>
      <w:bookmarkStart w:id="493" w:name="_Toc150509300"/>
      <w:r/>
      <w:bookmarkStart w:id="494" w:name="_Toc150480787"/>
      <w:r/>
      <w:bookmarkStart w:id="495" w:name="_Toc265228387"/>
      <w:r/>
      <w:bookmarkStart w:id="496" w:name="_Toc151193719"/>
      <w:r>
        <w:rPr>
          <w:rFonts w:hint="eastAsia" w:ascii="宋体" w:hAnsi="宋体" w:cs="宋体"/>
          <w:color w:val="000000"/>
          <w:sz w:val="24"/>
          <w:highlight w:val="none"/>
        </w:rPr>
        <w:t xml:space="preserve">成交公告与成交通知书</w:t>
      </w:r>
      <w:bookmarkEnd w:id="480"/>
      <w:r/>
      <w:bookmarkEnd w:id="48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w:t>
      </w:r>
      <w:r>
        <w:rPr>
          <w:rFonts w:hint="eastAsia" w:ascii="宋体" w:hAnsi="宋体" w:cs="宋体"/>
          <w:color w:val="000000"/>
          <w:sz w:val="24"/>
          <w:highlight w:val="none"/>
        </w:rPr>
        <w:t xml:space="preserve">在成交供应商确定后2个工作日内，在江苏政府采购网、</w:t>
      </w:r>
      <w:r>
        <w:rPr>
          <w:rFonts w:hint="eastAsia" w:ascii="宋体" w:hAnsi="宋体" w:cs="宋体"/>
          <w:color w:val="000000"/>
          <w:sz w:val="24"/>
          <w:highlight w:val="none"/>
        </w:rPr>
        <w:t xml:space="preserve">常州市政府采购网和常州青果招投标有限公司网</w:t>
      </w:r>
      <w:r>
        <w:rPr>
          <w:rFonts w:hint="eastAsia" w:ascii="宋体" w:hAnsi="宋体" w:cs="宋体"/>
          <w:color w:val="000000"/>
          <w:sz w:val="24"/>
          <w:highlight w:val="none"/>
        </w:rPr>
        <w:t xml:space="preserve">公告成交结果，同时向成交供应商发出成交通知书，</w:t>
      </w:r>
      <w:r>
        <w:rPr>
          <w:rFonts w:hint="eastAsia" w:ascii="宋体" w:hAnsi="宋体" w:cs="宋体"/>
          <w:color w:val="000000"/>
          <w:sz w:val="24"/>
          <w:highlight w:val="none"/>
        </w:rPr>
        <w:t xml:space="preserve">成交公告期限为1个工作日。</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终止</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因情况变化，不再符合规定的竞争性磋商采购方式适用情形的；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color w:val="000000"/>
          <w:sz w:val="24"/>
          <w:highlight w:val="none"/>
        </w:rPr>
      </w:pPr>
      <w:r>
        <w:rPr>
          <w:rFonts w:hint="eastAsia" w:ascii="宋体" w:hAnsi="宋体" w:cs="宋体"/>
          <w:color w:val="000000"/>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497" w:name="_Toc164608819"/>
      <w:r/>
      <w:bookmarkStart w:id="498" w:name="_Toc150480788"/>
      <w:r/>
      <w:bookmarkStart w:id="499" w:name="_Toc151193648"/>
      <w:r/>
      <w:bookmarkStart w:id="500" w:name="_Toc265228388"/>
      <w:r/>
      <w:bookmarkStart w:id="501" w:name="_Toc151193792"/>
      <w:r/>
      <w:bookmarkStart w:id="502" w:name="_Toc226965740"/>
      <w:r/>
      <w:bookmarkStart w:id="503" w:name="_Ref467307204"/>
      <w:r/>
      <w:bookmarkStart w:id="504" w:name="_Toc305158892"/>
      <w:r/>
      <w:bookmarkStart w:id="505" w:name="_Toc164351644"/>
      <w:r/>
      <w:bookmarkStart w:id="506" w:name="_Toc127151751"/>
      <w:r/>
      <w:bookmarkStart w:id="507" w:name="_Toc226309794"/>
      <w:r/>
      <w:bookmarkStart w:id="508" w:name="_Toc127151550"/>
      <w:r/>
      <w:bookmarkStart w:id="509" w:name="_Toc520356175"/>
      <w:r/>
      <w:bookmarkStart w:id="510" w:name="_Toc305158818"/>
      <w:r/>
      <w:bookmarkStart w:id="511" w:name="_Toc164608664"/>
      <w:r/>
      <w:bookmarkStart w:id="512" w:name="_Toc127161464"/>
      <w:r/>
      <w:bookmarkStart w:id="513" w:name="_Toc149720843"/>
      <w:r/>
      <w:bookmarkStart w:id="514" w:name="_Toc151193720"/>
      <w:r/>
      <w:bookmarkStart w:id="515" w:name="_Toc151190177"/>
      <w:r/>
      <w:bookmarkStart w:id="516" w:name="_Toc226337246"/>
      <w:r/>
      <w:bookmarkStart w:id="517" w:name="_Toc264969240"/>
      <w:r/>
      <w:bookmarkStart w:id="518" w:name="_Toc150774755"/>
      <w:r/>
      <w:bookmarkStart w:id="519" w:name="_Ref467306978"/>
      <w:r/>
      <w:bookmarkStart w:id="520" w:name="_Toc150509301"/>
      <w:r/>
      <w:bookmarkStart w:id="521" w:name="_Toc164229245"/>
      <w:r/>
      <w:bookmarkStart w:id="522" w:name="_Toc195842915"/>
      <w:r/>
      <w:bookmarkStart w:id="523" w:name="_Ref467307062"/>
      <w:r/>
      <w:bookmarkStart w:id="524" w:name="_Toc142311052"/>
      <w:r/>
      <w:bookmarkStart w:id="525" w:name="_Toc150774650"/>
      <w:r/>
      <w:bookmarkStart w:id="526" w:name="_Toc151193938"/>
      <w:r/>
      <w:bookmarkStart w:id="527" w:name="_Toc164229391"/>
      <w:r/>
      <w:bookmarkStart w:id="528" w:name="_Ref467306377"/>
      <w:r/>
      <w:bookmarkStart w:id="529" w:name="_Toc151193864"/>
      <w:r/>
      <w:bookmarkStart w:id="530" w:name="_Toc226965823"/>
      <w:r>
        <w:rPr>
          <w:rFonts w:hint="eastAsia" w:ascii="宋体" w:hAnsi="宋体" w:cs="宋体"/>
          <w:color w:val="000000"/>
          <w:sz w:val="24"/>
          <w:highlight w:val="none"/>
        </w:rPr>
        <w:t xml:space="preserve">签订合同</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联合体获得成交资格的，联合体各方应当共同与采购人签订合同，就成交项目向采购人承担连带责任。</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81"/>
      <w:r/>
      <w:bookmarkEnd w:id="482"/>
      <w:r/>
      <w:bookmarkEnd w:id="483"/>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118"/>
          <w:rFonts w:hint="eastAsia" w:ascii="宋体" w:hAnsi="宋体" w:cs="宋体"/>
          <w:color w:val="000000"/>
          <w:sz w:val="24"/>
          <w:highlight w:val="none"/>
        </w:rPr>
        <w:t xml:space="preserve">http：//gk</w:t>
      </w:r>
      <w:bookmarkStart w:id="531" w:name="_Hlt100654014"/>
      <w:r>
        <w:rPr>
          <w:rStyle w:val="1118"/>
          <w:rFonts w:hint="eastAsia" w:ascii="宋体" w:hAnsi="宋体" w:cs="宋体"/>
          <w:color w:val="000000"/>
          <w:sz w:val="24"/>
          <w:highlight w:val="none"/>
        </w:rPr>
        <w:t xml:space="preserve">s</w:t>
      </w:r>
      <w:bookmarkEnd w:id="531"/>
      <w:r>
        <w:rPr>
          <w:rStyle w:val="1118"/>
          <w:rFonts w:hint="eastAsia" w:ascii="宋体" w:hAnsi="宋体" w:cs="宋体"/>
          <w:color w:val="000000"/>
          <w:sz w:val="24"/>
          <w:highlight w:val="none"/>
        </w:rPr>
        <w:t xml:space="preserve">.m</w:t>
      </w:r>
      <w:bookmarkStart w:id="532" w:name="_Hlt100653994"/>
      <w:r/>
      <w:bookmarkStart w:id="533" w:name="_Hlt100653993"/>
      <w:r>
        <w:rPr>
          <w:rStyle w:val="1118"/>
          <w:rFonts w:hint="eastAsia" w:ascii="宋体" w:hAnsi="宋体" w:cs="宋体"/>
          <w:color w:val="000000"/>
          <w:sz w:val="24"/>
          <w:highlight w:val="none"/>
        </w:rPr>
        <w:t xml:space="preserve">o</w:t>
      </w:r>
      <w:bookmarkEnd w:id="532"/>
      <w:r/>
      <w:bookmarkEnd w:id="533"/>
      <w:r/>
      <w:bookmarkStart w:id="534" w:name="_Hlt101169156"/>
      <w:r>
        <w:rPr>
          <w:rStyle w:val="1118"/>
          <w:rFonts w:hint="eastAsia" w:ascii="宋体" w:hAnsi="宋体" w:cs="宋体"/>
          <w:color w:val="000000"/>
          <w:sz w:val="24"/>
          <w:highlight w:val="none"/>
        </w:rPr>
        <w:t xml:space="preserve">f</w:t>
      </w:r>
      <w:bookmarkEnd w:id="534"/>
      <w:r>
        <w:rPr>
          <w:rStyle w:val="1118"/>
          <w:rFonts w:hint="eastAsia" w:ascii="宋体" w:hAnsi="宋体" w:cs="宋体"/>
          <w:color w:val="000000"/>
          <w:sz w:val="24"/>
          <w:highlight w:val="none"/>
        </w:rPr>
        <w:t xml:space="preserve">.gov.cn/ztztz/zhengfucaigouguanli/201802/t20180201_2804589.htm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highlight w:val="none"/>
        </w:rPr>
      </w:r>
      <w:r/>
    </w:p>
    <w:p>
      <w:pPr>
        <w:pStyle w:val="1041"/>
        <w:jc w:val="center"/>
        <w:spacing w:line="360" w:lineRule="auto"/>
        <w:rPr>
          <w:b/>
          <w:color w:val="000000"/>
          <w:sz w:val="36"/>
          <w:szCs w:val="36"/>
          <w:highlight w:val="none"/>
        </w:rPr>
        <w:outlineLvl w:val="0"/>
      </w:pPr>
      <w:r/>
      <w:bookmarkStart w:id="535" w:name="_Toc2600"/>
      <w:r/>
      <w:bookmarkStart w:id="536" w:name="_Toc264969244"/>
      <w:r/>
      <w:bookmarkStart w:id="537" w:name="_Toc226337250"/>
      <w:r/>
      <w:bookmarkStart w:id="538" w:name="_Toc142311056"/>
      <w:r/>
      <w:bookmarkStart w:id="539" w:name="_Toc353825544"/>
      <w:r/>
      <w:bookmarkStart w:id="540" w:name="_Toc265228392"/>
      <w:r/>
      <w:bookmarkStart w:id="541" w:name="_Toc150480792"/>
      <w:r/>
      <w:bookmarkStart w:id="542" w:name="_Toc353873664"/>
      <w:r/>
      <w:bookmarkStart w:id="543" w:name="_Toc127151554"/>
      <w:r/>
      <w:bookmarkStart w:id="544" w:name="_Toc226965827"/>
      <w:r/>
      <w:bookmarkStart w:id="545" w:name="_Toc353873934"/>
      <w:r/>
      <w:bookmarkStart w:id="546" w:name="_Toc305158822"/>
      <w:r/>
      <w:bookmarkStart w:id="547" w:name="_Toc305158896"/>
      <w:r/>
      <w:bookmarkStart w:id="548" w:name="_Toc150774759"/>
      <w:r/>
      <w:bookmarkStart w:id="549" w:name="_Toc104818927"/>
      <w:r>
        <w:rPr>
          <w:b/>
          <w:color w:val="000000"/>
          <w:sz w:val="36"/>
          <w:szCs w:val="36"/>
          <w:highlight w:val="none"/>
        </w:rPr>
        <w:br w:type="page" w:clear="all"/>
      </w:r>
      <w:bookmarkStart w:id="550" w:name="_Toc25458"/>
      <w:r/>
      <w:bookmarkStart w:id="551" w:name="_Toc7477"/>
      <w:r/>
      <w:bookmarkStart w:id="552" w:name="_Toc23245"/>
      <w:r>
        <w:rPr>
          <w:b/>
          <w:color w:val="000000"/>
          <w:sz w:val="36"/>
          <w:szCs w:val="36"/>
          <w:highlight w:val="none"/>
        </w:rPr>
        <w:t xml:space="preserve">第三章   </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35"/>
      <w:r/>
      <w:bookmarkEnd w:id="549"/>
      <w:r/>
      <w:bookmarkEnd w:id="550"/>
      <w:r/>
      <w:bookmarkEnd w:id="551"/>
      <w:r/>
      <w:bookmarkEnd w:id="552"/>
      <w:r/>
      <w:bookmarkStart w:id="553" w:name="_Toc487900382"/>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一、评审程序</w:t>
      </w:r>
      <w:r>
        <w:rPr>
          <w:rFonts w:hint="eastAsia" w:ascii="宋体" w:hAnsi="宋体"/>
          <w:b/>
          <w:bCs/>
          <w:color w:val="000000"/>
          <w:sz w:val="28"/>
          <w:szCs w:val="28"/>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53"/>
      <w:r/>
      <w:bookmarkStart w:id="554" w:name="_Toc127151541"/>
      <w:r/>
      <w:bookmarkStart w:id="555" w:name="_Toc150480779"/>
      <w:r/>
      <w:bookmarkStart w:id="556" w:name="_Toc226965814"/>
      <w:r/>
      <w:bookmarkStart w:id="557" w:name="_Toc149720834"/>
      <w:r/>
      <w:bookmarkStart w:id="558" w:name="_Toc151193711"/>
      <w:r/>
      <w:bookmarkStart w:id="559" w:name="_Toc164229382"/>
      <w:r/>
      <w:bookmarkStart w:id="560" w:name="_Toc164608655"/>
      <w:r/>
      <w:bookmarkStart w:id="561" w:name="_Toc305158883"/>
      <w:r/>
      <w:bookmarkStart w:id="562" w:name="_Toc150774746"/>
      <w:r/>
      <w:bookmarkStart w:id="563" w:name="_Toc305158809"/>
      <w:r/>
      <w:bookmarkStart w:id="564" w:name="_Toc127161455"/>
      <w:r/>
      <w:bookmarkStart w:id="565" w:name="_Toc151193783"/>
      <w:r/>
      <w:bookmarkStart w:id="566" w:name="_Toc150774641"/>
      <w:r/>
      <w:bookmarkStart w:id="567" w:name="_Toc151193639"/>
      <w:r/>
      <w:bookmarkStart w:id="568" w:name="_Toc164351635"/>
      <w:r/>
      <w:bookmarkStart w:id="569" w:name="_Toc353873941"/>
      <w:r/>
      <w:bookmarkStart w:id="570" w:name="_Toc353825551"/>
      <w:r/>
      <w:bookmarkStart w:id="571" w:name="_Toc164229236"/>
      <w:r/>
      <w:bookmarkStart w:id="572" w:name="_Toc151193855"/>
      <w:r/>
      <w:bookmarkStart w:id="573" w:name="_Toc226309785"/>
      <w:r/>
      <w:bookmarkStart w:id="574" w:name="_Toc151193929"/>
      <w:r/>
      <w:bookmarkStart w:id="575" w:name="_Toc150509292"/>
      <w:r/>
      <w:bookmarkStart w:id="576" w:name="_Toc264969231"/>
      <w:r/>
      <w:bookmarkStart w:id="577" w:name="_Toc226965731"/>
      <w:r/>
      <w:bookmarkStart w:id="578" w:name="_Toc142311043"/>
      <w:r/>
      <w:bookmarkStart w:id="579" w:name="_Toc151190168"/>
      <w:r/>
      <w:bookmarkStart w:id="580" w:name="_Toc265228379"/>
      <w:r/>
      <w:bookmarkStart w:id="581" w:name="_Toc195842906"/>
      <w:r/>
      <w:bookmarkStart w:id="582" w:name="_Toc226337237"/>
      <w:r/>
      <w:bookmarkStart w:id="583" w:name="_Toc164608810"/>
      <w:r/>
      <w:bookmarkStart w:id="584" w:name="_Toc127151742"/>
      <w:r>
        <w:rPr>
          <w:rFonts w:hint="eastAsia"/>
          <w:color w:val="000000"/>
          <w:sz w:val="24"/>
          <w:highlight w:val="none"/>
        </w:rPr>
        <w:t xml:space="preserve">响应文件的</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color w:val="000000"/>
          <w:sz w:val="24"/>
          <w:highlight w:val="none"/>
        </w:rPr>
        <w:t xml:space="preserve">资格性检查和符合性审查</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857"/>
        <w:gridCol w:w="4830"/>
        <w:gridCol w:w="1784"/>
      </w:tblGrid>
      <w:tr>
        <w:trPr>
          <w:trHeight w:val="512"/>
          <w:tblHeader/>
        </w:trPr>
        <w:tc>
          <w:tcPr>
            <w:tcW w:w="68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bookmarkStart w:id="585" w:name="_Hlt487972895"/>
            <w:r/>
            <w:bookmarkEnd w:id="58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5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4830"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784"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trHeight w:val="1519"/>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328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hint="eastAsia" w:ascii="宋体" w:hAnsi="宋体" w:cs="宋体"/>
                <w:color w:val="000000"/>
                <w:sz w:val="24"/>
                <w:highlight w:val="none"/>
              </w:rPr>
            </w:r>
            <w:r/>
          </w:p>
        </w:tc>
      </w:tr>
      <w:tr>
        <w:trPr>
          <w:trHeight w:val="764"/>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60"/>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color w:val="000000"/>
                <w:sz w:val="24"/>
                <w:highlight w:val="none"/>
              </w:rPr>
            </w:pPr>
            <w:r>
              <w:rPr>
                <w:rFonts w:hint="eastAsia" w:ascii="宋体" w:hAnsi="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rFonts w:hint="eastAsia"/>
                <w:color w:val="000000"/>
                <w:sz w:val="24"/>
                <w:highlight w:val="none"/>
              </w:rPr>
            </w:r>
            <w:r/>
          </w:p>
          <w:p>
            <w:pPr>
              <w:pStyle w:val="1041"/>
              <w:tabs>
                <w:tab w:val="left" w:pos="108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注2：残疾人福利性单位须按磋商文件要求提供《残疾人福利性单位声明函》。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本项目的特定资格要求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其他特定资格要求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提供</w:t>
            </w:r>
            <w:r>
              <w:rPr>
                <w:rFonts w:hint="eastAsia"/>
                <w:color w:val="000000"/>
                <w:sz w:val="24"/>
                <w:highlight w:val="none"/>
              </w:rPr>
              <w:t xml:space="preserve">证书</w:t>
            </w:r>
            <w:r>
              <w:rPr>
                <w:color w:val="000000"/>
                <w:sz w:val="24"/>
                <w:highlight w:val="none"/>
              </w:rPr>
              <w:t xml:space="preserve">的电子件或电子证照</w:t>
            </w:r>
            <w:r>
              <w:rPr>
                <w:rFonts w:hint="eastAsia" w:ascii="宋体" w:hAnsi="宋体" w:cs="宋体"/>
                <w:color w:val="000000"/>
                <w:sz w:val="24"/>
                <w:highlight w:val="none"/>
              </w:rPr>
            </w:r>
            <w:r/>
          </w:p>
        </w:tc>
      </w:tr>
    </w:tbl>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《符合性审查要求》见下表：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符合性审查要求</w:t>
      </w:r>
      <w:r>
        <w:rPr>
          <w:b/>
          <w:color w:val="000000"/>
          <w:sz w:val="24"/>
          <w:highlight w:val="none"/>
        </w:rPr>
      </w:r>
      <w:r/>
    </w:p>
    <w:tbl>
      <w:tblPr>
        <w:tblpPr w:horzAnchor="page" w:tblpX="1152" w:vertAnchor="text" w:tblpY="55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43"/>
        <w:gridCol w:w="6834"/>
      </w:tblGrid>
      <w:tr>
        <w:trPr>
          <w:trHeight w:val="885"/>
        </w:trPr>
        <w:tc>
          <w:tcPr>
            <w:tcW w:w="762"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43"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6834"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2193"/>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按磋商文件要求提供响应函、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未将一个项目/采购包中的内容拆开响应；</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超过磋商文件中规定的项目/采购包预算金额或者项目/采购包最高限价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出现可选择性或可调整的报价（磋商文件另有规定的除外）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响应文件中承诺的响应有效期满足磋商文件中载明的响应有效期的；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按照磋商文件要求签署、加盖公章的；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标记为“实质性格式”的文件均按磋商文件要求提供；</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响应文件报价出现前后不一致时，供应商对修正后的报价予以确认；</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报价合理性</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按照财库〔2026〕2号《关于推动解决政府采购异常低价问题的通知》要求：</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1041"/>
              <w:jc w:val="left"/>
              <w:widowControl/>
              <w:rPr>
                <w:rFonts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4.相关法律法规对供应商报价有最新规定的，从其规定。</w:t>
            </w:r>
            <w:r>
              <w:rPr>
                <w:rFonts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szCs w:val="24"/>
                <w:highlight w:val="none"/>
              </w:rPr>
              <w:t xml:space="preserve">5.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10分钟内提供项目具体成本测算等与</w:t>
            </w:r>
            <w:r>
              <w:rPr>
                <w:rFonts w:hint="eastAsia" w:ascii="宋体" w:hAnsi="宋体" w:cs="宋体"/>
                <w:color w:val="000000"/>
                <w:sz w:val="24"/>
                <w:szCs w:val="24"/>
                <w:highlight w:val="none"/>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szCs w:val="24"/>
                <w:highlight w:val="none"/>
                <w:lang w:val="en-US" w:eastAsia="zh-CN" w:bidi="ar-SA"/>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10</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公平竞争</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szCs w:val="24"/>
                <w:highlight w:val="none"/>
                <w:lang w:val="en-US" w:eastAsia="zh-CN" w:bidi="ar-SA"/>
              </w:rPr>
            </w:r>
            <w:r/>
          </w:p>
        </w:tc>
      </w:tr>
      <w:tr>
        <w:trPr>
          <w:trHeight w:val="1595"/>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11</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串通响应</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cs="宋体"/>
                <w:color w:val="000000"/>
                <w:sz w:val="24"/>
                <w:szCs w:val="24"/>
                <w:highlight w:val="none"/>
                <w:lang w:val="en-US" w:eastAsia="zh-CN" w:bidi="ar-SA"/>
              </w:rPr>
            </w:r>
            <w:r/>
          </w:p>
        </w:tc>
      </w:tr>
      <w:tr>
        <w:trPr>
          <w:trHeight w:val="1071"/>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12</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附加条件</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响应文件未含有采购人不能接受的附加条件的；</w:t>
            </w:r>
            <w:r>
              <w:rPr>
                <w:rFonts w:hint="eastAsia" w:ascii="宋体" w:hAnsi="宋体" w:cs="宋体"/>
                <w:color w:val="000000"/>
                <w:sz w:val="24"/>
                <w:szCs w:val="24"/>
                <w:highlight w:val="none"/>
                <w:lang w:val="en-US" w:eastAsia="zh-CN" w:bidi="ar-SA"/>
              </w:rPr>
            </w:r>
            <w:r/>
          </w:p>
        </w:tc>
      </w:tr>
      <w:tr>
        <w:trPr>
          <w:trHeight w:val="1097"/>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13</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其他无效情形</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cs="宋体"/>
                <w:color w:val="000000"/>
                <w:sz w:val="24"/>
                <w:szCs w:val="24"/>
                <w:highlight w:val="none"/>
                <w:lang w:val="en-US" w:eastAsia="zh-CN" w:bidi="ar-SA"/>
              </w:rPr>
            </w:r>
            <w:r/>
          </w:p>
        </w:tc>
      </w:tr>
    </w:tbl>
    <w:p>
      <w:pPr>
        <w:pStyle w:val="1041"/>
        <w:numPr>
          <w:ilvl w:val="0"/>
          <w:numId w:val="12"/>
        </w:numPr>
        <w:ind w:left="901" w:hanging="901"/>
        <w:spacing w:line="360" w:lineRule="auto"/>
        <w:tabs>
          <w:tab w:val="left" w:pos="360" w:leader="none"/>
          <w:tab w:val="left" w:pos="900" w:leader="none"/>
        </w:tabs>
        <w:rPr>
          <w:color w:val="000000"/>
          <w:sz w:val="24"/>
          <w:highlight w:val="none"/>
        </w:rPr>
        <w:outlineLvl w:val="2"/>
      </w:pPr>
      <w:r>
        <w:rPr>
          <w:color w:val="000000"/>
          <w:sz w:val="24"/>
          <w:highlight w:val="none"/>
        </w:rPr>
        <w:br w:type="page" w:clear="all"/>
      </w:r>
      <w:r>
        <w:rPr>
          <w:rFonts w:hint="eastAsia"/>
          <w:color w:val="000000"/>
          <w:sz w:val="24"/>
          <w:highlight w:val="none"/>
        </w:rPr>
        <w:t xml:space="preserve">磋商、响应文件有关事项的澄清、说明或者更正和最终报价</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通过“苏采云”政府采购一体化平台系统</w:t>
      </w:r>
      <w:r>
        <w:rPr>
          <w:color w:val="000000"/>
          <w:sz w:val="24"/>
          <w:highlight w:val="none"/>
        </w:rPr>
        <w:t xml:space="preserve">以书面形式同时通知所有参加磋商的供应商。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4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通过“苏采云”政府采购一体化平台系统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通过“苏采云”政府采购一体化平台系统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rPr>
        <w:t xml:space="preserve">。</w:t>
      </w:r>
      <w:r>
        <w:rPr>
          <w:b/>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最终报价的算术修正及政策调整</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磋商环节及提交最终报价后如出现以下情况的，供应商的响应文件无效：</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69"/>
      <w:r/>
      <w:bookmarkEnd w:id="570"/>
      <w:r>
        <w:rPr>
          <w:rFonts w:hint="eastAsia"/>
          <w:color w:val="000000"/>
          <w:sz w:val="24"/>
          <w:highlight w:val="none"/>
        </w:rPr>
        <w:t xml:space="preserve">评审方法和评审标准</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确定</w:t>
      </w:r>
      <w:bookmarkStart w:id="586" w:name="_Toc142311048"/>
      <w:r/>
      <w:bookmarkStart w:id="587" w:name="_Toc226337242"/>
      <w:r/>
      <w:bookmarkStart w:id="588" w:name="_Toc150509297"/>
      <w:r/>
      <w:bookmarkStart w:id="589" w:name="_Toc305158888"/>
      <w:r/>
      <w:bookmarkStart w:id="590" w:name="_Toc226965736"/>
      <w:r/>
      <w:bookmarkStart w:id="591" w:name="_Toc151193860"/>
      <w:r/>
      <w:bookmarkStart w:id="592" w:name="_Toc151193644"/>
      <w:r/>
      <w:bookmarkStart w:id="593" w:name="_Toc164608660"/>
      <w:r/>
      <w:bookmarkStart w:id="594" w:name="_Toc150774646"/>
      <w:r/>
      <w:bookmarkStart w:id="595" w:name="_Toc226965819"/>
      <w:r/>
      <w:bookmarkStart w:id="596" w:name="_Toc164229387"/>
      <w:r/>
      <w:bookmarkStart w:id="597" w:name="_Toc150774751"/>
      <w:r/>
      <w:bookmarkStart w:id="598" w:name="_Toc151193716"/>
      <w:r/>
      <w:bookmarkStart w:id="599" w:name="_Toc151193788"/>
      <w:r/>
      <w:bookmarkStart w:id="600" w:name="_Toc127151747"/>
      <w:r/>
      <w:bookmarkStart w:id="601" w:name="_Toc195842911"/>
      <w:r/>
      <w:bookmarkStart w:id="602" w:name="_Toc164229241"/>
      <w:r/>
      <w:bookmarkStart w:id="603" w:name="_Toc264969236"/>
      <w:r/>
      <w:bookmarkStart w:id="604" w:name="_Ref467307010"/>
      <w:r/>
      <w:bookmarkStart w:id="605" w:name="_Toc164351640"/>
      <w:r/>
      <w:bookmarkStart w:id="606" w:name="_Toc151190173"/>
      <w:r/>
      <w:bookmarkStart w:id="607" w:name="_Toc164608815"/>
      <w:r/>
      <w:bookmarkStart w:id="608" w:name="_Toc305158814"/>
      <w:r/>
      <w:bookmarkStart w:id="609" w:name="_Toc265228384"/>
      <w:r/>
      <w:bookmarkStart w:id="610" w:name="_Toc520356170"/>
      <w:r/>
      <w:bookmarkStart w:id="611" w:name="_Toc149720839"/>
      <w:r/>
      <w:bookmarkStart w:id="612" w:name="_Toc226309790"/>
      <w:r/>
      <w:bookmarkStart w:id="613" w:name="_Toc127151546"/>
      <w:r/>
      <w:bookmarkStart w:id="614" w:name="_Toc127161460"/>
      <w:r/>
      <w:bookmarkStart w:id="615" w:name="_Toc150480784"/>
      <w:r/>
      <w:bookmarkStart w:id="616" w:name="_Toc151193934"/>
      <w:r>
        <w:rPr>
          <w:rFonts w:hint="eastAsia"/>
          <w:color w:val="000000"/>
          <w:sz w:val="24"/>
          <w:highlight w:val="none"/>
        </w:rPr>
        <w:t xml:space="preserve">成交候选人名单</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报告违法行为</w:t>
      </w:r>
      <w:r>
        <w:rPr>
          <w:rFonts w:hint="eastAsia"/>
          <w:color w:val="000000"/>
          <w:sz w:val="24"/>
          <w:highlight w:val="none"/>
        </w:rPr>
      </w:r>
      <w:r/>
    </w:p>
    <w:p>
      <w:pPr>
        <w:pStyle w:val="104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br w:type="page" w:clear="all"/>
      </w:r>
      <w:r>
        <w:rPr>
          <w:rFonts w:hint="eastAsia" w:ascii="宋体" w:hAnsi="宋体"/>
          <w:b/>
          <w:bCs/>
          <w:color w:val="000000"/>
          <w:sz w:val="28"/>
          <w:szCs w:val="28"/>
          <w:highlight w:val="none"/>
        </w:rPr>
        <w:t xml:space="preserve">二、评审标准</w:t>
      </w:r>
      <w:r>
        <w:rPr>
          <w:rFonts w:hint="eastAsia" w:ascii="宋体" w:hAnsi="宋体"/>
          <w:b/>
          <w:bCs/>
          <w:color w:val="000000"/>
          <w:sz w:val="28"/>
          <w:szCs w:val="28"/>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评审采用综合评分法，磋商小组在响应文件最大限度地满足磋商文件中实质性要求前提下，按照磋商文件中规定的磋商小组评分部分各项因素，独立对每个有效供应商的响应文件进行评审，各供应商最终得分为磋商小组所评定分值的平均值,磋商小组成员评分及平均值计算均保留两位小数。</w:t>
      </w:r>
      <w:r>
        <w:rPr>
          <w:rFonts w:hint="eastAsia" w:ascii="宋体" w:hAnsi="宋体" w:cs="宋体"/>
          <w:bCs/>
          <w:color w:val="000000"/>
          <w:sz w:val="24"/>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磋商小组按评审后最终综合得分由高到低顺序排列名次，并推荐出成交供应商。如得分相同的，按最终报价由低到高顺序推荐成交供应商。得分且最终报价相同的，则以开标签到先后顺序抽签确定成交供应商。</w:t>
      </w:r>
      <w:r>
        <w:rPr>
          <w:rFonts w:hint="eastAsia" w:ascii="宋体" w:hAnsi="宋体" w:cs="宋体"/>
          <w:bCs/>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认为供应商的报价明显低于其他通过符合性审查供应商的报价，有可能影响产品质量或者不能诚信履约的，应当要求其在评标现场合理的时间内提供相关证明材料；供应商不能证明其报价合理性的，磋商小组应当将其作为无效响应处理。</w:t>
      </w:r>
      <w:r>
        <w:rPr>
          <w:rFonts w:hint="eastAsia" w:ascii="宋体" w:hAnsi="宋体" w:cs="宋体"/>
          <w:bCs/>
          <w:color w:val="000000"/>
          <w:sz w:val="24"/>
          <w:highlight w:val="none"/>
        </w:rPr>
      </w:r>
      <w:r/>
    </w:p>
    <w:tbl>
      <w:tblPr>
        <w:tblW w:w="919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2"/>
        <w:gridCol w:w="1096"/>
        <w:gridCol w:w="782"/>
        <w:gridCol w:w="4808"/>
        <w:gridCol w:w="1711"/>
      </w:tblGrid>
      <w:tr>
        <w:trPr>
          <w:trHeight w:val="525"/>
        </w:trPr>
        <w:tc>
          <w:tcPr>
            <w:tcW w:w="80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序号</w:t>
            </w:r>
            <w:r>
              <w:rPr>
                <w:rFonts w:hint="eastAsia" w:ascii="宋体" w:hAnsi="宋体"/>
                <w:b/>
                <w:bCs/>
                <w:color w:val="000000"/>
                <w:spacing w:val="-1"/>
                <w:sz w:val="24"/>
                <w:highlight w:val="none"/>
              </w:rPr>
            </w:r>
            <w:r/>
          </w:p>
        </w:tc>
        <w:tc>
          <w:tcPr>
            <w:tcW w:w="1096"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评分因素</w:t>
            </w:r>
            <w:r>
              <w:rPr>
                <w:rFonts w:hint="eastAsia" w:ascii="宋体" w:hAnsi="宋体"/>
                <w:b/>
                <w:bCs/>
                <w:color w:val="000000"/>
                <w:spacing w:val="-1"/>
                <w:sz w:val="24"/>
                <w:highlight w:val="none"/>
              </w:rPr>
            </w:r>
            <w:r/>
          </w:p>
        </w:tc>
        <w:tc>
          <w:tcPr>
            <w:tcW w:w="78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分值</w:t>
            </w:r>
            <w:r>
              <w:rPr>
                <w:rFonts w:hint="eastAsia" w:ascii="宋体" w:hAnsi="宋体"/>
                <w:b/>
                <w:bCs/>
                <w:color w:val="000000"/>
                <w:spacing w:val="-1"/>
                <w:sz w:val="24"/>
                <w:highlight w:val="none"/>
              </w:rPr>
            </w:r>
            <w:r/>
          </w:p>
        </w:tc>
        <w:tc>
          <w:tcPr>
            <w:tcW w:w="4808"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评分标准</w:t>
            </w:r>
            <w:r>
              <w:rPr>
                <w:rFonts w:hint="eastAsia" w:ascii="宋体" w:hAnsi="宋体"/>
                <w:b/>
                <w:bCs/>
                <w:color w:val="000000"/>
                <w:spacing w:val="-1"/>
                <w:sz w:val="24"/>
                <w:highlight w:val="none"/>
              </w:rPr>
            </w:r>
            <w:r/>
          </w:p>
        </w:tc>
        <w:tc>
          <w:tcPr>
            <w:tcW w:w="1711"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说明</w:t>
            </w:r>
            <w:r>
              <w:rPr>
                <w:rFonts w:hint="eastAsia" w:ascii="宋体" w:hAnsi="宋体"/>
                <w:b/>
                <w:bCs/>
                <w:color w:val="000000"/>
                <w:spacing w:val="-1"/>
                <w:sz w:val="24"/>
                <w:highlight w:val="none"/>
              </w:rPr>
            </w:r>
            <w:r/>
          </w:p>
        </w:tc>
      </w:tr>
      <w:tr>
        <w:trPr>
          <w:trHeight w:val="2118"/>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b/>
                <w:color w:val="000000"/>
                <w:sz w:val="24"/>
                <w:highlight w:val="none"/>
              </w:rPr>
            </w:pPr>
            <w:r>
              <w:rPr>
                <w:rFonts w:hint="eastAsia" w:ascii="宋体" w:hAnsi="宋体"/>
                <w:b/>
                <w:color w:val="000000"/>
                <w:spacing w:val="-2"/>
                <w:sz w:val="24"/>
                <w:highlight w:val="none"/>
              </w:rPr>
              <w:t xml:space="preserve">价</w:t>
            </w:r>
            <w:r>
              <w:rPr>
                <w:rFonts w:hint="eastAsia" w:ascii="宋体" w:hAnsi="宋体"/>
                <w:b/>
                <w:color w:val="000000"/>
                <w:spacing w:val="-1"/>
                <w:sz w:val="24"/>
                <w:highlight w:val="none"/>
              </w:rPr>
              <w:t xml:space="preserve">格分</w:t>
            </w:r>
            <w:r>
              <w:rPr>
                <w:rFonts w:hint="eastAsia" w:ascii="宋体" w:hAnsi="宋体"/>
                <w:b/>
                <w:color w:val="000000"/>
                <w:sz w:val="24"/>
                <w:highlight w:val="none"/>
              </w:rPr>
            </w:r>
            <w:r/>
          </w:p>
        </w:tc>
        <w:tc>
          <w:tcPr>
            <w:tcW w:w="782" w:type="dxa"/>
            <w:vAlign w:val="center"/>
            <w:textDirection w:val="lrTb"/>
            <w:noWrap w:val="false"/>
          </w:tcPr>
          <w:p>
            <w:pPr>
              <w:pStyle w:val="1041"/>
              <w:jc w:val="center"/>
              <w:spacing w:before="68"/>
              <w:rPr>
                <w:rFonts w:hint="eastAsia" w:ascii="宋体" w:hAnsi="宋体"/>
                <w:b/>
                <w:color w:val="000000"/>
                <w:sz w:val="24"/>
                <w:highlight w:val="none"/>
              </w:rPr>
            </w:pPr>
            <w:r>
              <w:rPr>
                <w:rFonts w:ascii="宋体" w:hAnsi="宋体"/>
                <w:b/>
                <w:color w:val="000000"/>
                <w:spacing w:val="-2"/>
                <w:sz w:val="24"/>
                <w:highlight w:val="none"/>
              </w:rPr>
              <w:t xml:space="preserve">3</w:t>
            </w:r>
            <w:r>
              <w:rPr>
                <w:rFonts w:hint="eastAsia" w:ascii="宋体" w:hAnsi="宋体"/>
                <w:b/>
                <w:color w:val="000000"/>
                <w:spacing w:val="-2"/>
                <w:sz w:val="24"/>
                <w:highlight w:val="none"/>
              </w:rPr>
              <w:t xml:space="preserve">0</w:t>
            </w:r>
            <w:r>
              <w:rPr>
                <w:rFonts w:hint="eastAsia" w:ascii="宋体" w:hAnsi="宋体"/>
                <w:b/>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10"/>
                <w:sz w:val="24"/>
                <w:highlight w:val="none"/>
              </w:rPr>
            </w:pPr>
            <w:r>
              <w:rPr>
                <w:rFonts w:hint="eastAsia" w:ascii="宋体" w:hAnsi="宋体"/>
                <w:color w:val="000000"/>
                <w:spacing w:val="-4"/>
                <w:sz w:val="24"/>
                <w:highlight w:val="none"/>
              </w:rPr>
              <w:t xml:space="preserve">价格分采用低价优先法计算，即满足磋商文件要求且磋商价格最低的磋商报价为磋商基准价，其价格分为</w:t>
            </w:r>
            <w:r>
              <w:rPr>
                <w:rFonts w:hint="eastAsia" w:ascii="宋体" w:hAnsi="宋体"/>
                <w:color w:val="000000"/>
                <w:spacing w:val="-4"/>
                <w:sz w:val="24"/>
                <w:highlight w:val="none"/>
                <w:lang w:val="en-US" w:eastAsia="zh-CN"/>
              </w:rPr>
              <w:t xml:space="preserve">价格满分</w:t>
            </w:r>
            <w:r>
              <w:rPr>
                <w:rFonts w:hint="eastAsia" w:ascii="宋体" w:hAnsi="宋体"/>
                <w:color w:val="000000"/>
                <w:spacing w:val="-4"/>
                <w:sz w:val="24"/>
                <w:highlight w:val="none"/>
              </w:rPr>
              <w:t xml:space="preserve">。其他供应商的价格分统一按照下列公式计算（计算结果四舍五入保留两位小数）：磋商报价得分=（磋商基准价/磋商报价）*</w:t>
            </w:r>
            <w:r>
              <w:rPr>
                <w:rFonts w:ascii="宋体" w:hAnsi="宋体"/>
                <w:color w:val="000000"/>
                <w:spacing w:val="-4"/>
                <w:sz w:val="24"/>
                <w:highlight w:val="none"/>
              </w:rPr>
              <w:t xml:space="preserve">3</w:t>
            </w:r>
            <w:r>
              <w:rPr>
                <w:rFonts w:hint="eastAsia" w:ascii="宋体" w:hAnsi="宋体"/>
                <w:color w:val="000000"/>
                <w:spacing w:val="-4"/>
                <w:sz w:val="24"/>
                <w:highlight w:val="none"/>
              </w:rPr>
              <w:t xml:space="preserve">0%*100</w:t>
            </w:r>
            <w:r>
              <w:rPr>
                <w:rFonts w:hint="eastAsia" w:ascii="宋体" w:hAnsi="宋体"/>
                <w:color w:val="000000"/>
                <w:spacing w:val="10"/>
                <w:sz w:val="24"/>
                <w:highlight w:val="none"/>
              </w:rPr>
            </w:r>
            <w:r/>
          </w:p>
        </w:tc>
        <w:tc>
          <w:tcPr>
            <w:tcW w:w="1711" w:type="dxa"/>
            <w:vAlign w:val="top"/>
            <w:textDirection w:val="lrTb"/>
            <w:noWrap w:val="false"/>
          </w:tcPr>
          <w:p>
            <w:pPr>
              <w:pStyle w:val="1041"/>
              <w:ind w:left="75" w:right="105" w:firstLine="1"/>
              <w:spacing w:before="54"/>
              <w:rPr>
                <w:rFonts w:hint="eastAsia" w:ascii="宋体" w:hAnsi="宋体"/>
                <w:color w:val="000000"/>
                <w:sz w:val="24"/>
                <w:highlight w:val="none"/>
              </w:rPr>
            </w:pPr>
            <w:r>
              <w:rPr>
                <w:rFonts w:hint="eastAsia" w:ascii="宋体" w:hAnsi="宋体"/>
                <w:color w:val="000000"/>
                <w:spacing w:val="1"/>
                <w:sz w:val="24"/>
                <w:highlight w:val="none"/>
              </w:rPr>
              <w:t xml:space="preserve">此处最终报</w:t>
            </w:r>
            <w:r>
              <w:rPr>
                <w:rFonts w:hint="eastAsia" w:ascii="宋体" w:hAnsi="宋体"/>
                <w:color w:val="000000"/>
                <w:sz w:val="24"/>
                <w:highlight w:val="none"/>
              </w:rPr>
              <w:t xml:space="preserve">价指经过报</w:t>
            </w:r>
            <w:r>
              <w:rPr>
                <w:rFonts w:hint="eastAsia" w:ascii="宋体" w:hAnsi="宋体"/>
                <w:color w:val="000000"/>
                <w:spacing w:val="1"/>
                <w:sz w:val="24"/>
                <w:highlight w:val="none"/>
              </w:rPr>
              <w:t xml:space="preserve">价修正，及因</w:t>
            </w:r>
            <w:r>
              <w:rPr>
                <w:rFonts w:hint="eastAsia" w:ascii="宋体" w:hAnsi="宋体"/>
                <w:color w:val="000000"/>
                <w:sz w:val="24"/>
                <w:highlight w:val="none"/>
              </w:rPr>
              <w:t xml:space="preserve">落实政府</w:t>
            </w:r>
            <w:r>
              <w:rPr>
                <w:rFonts w:hint="eastAsia" w:ascii="宋体" w:hAnsi="宋体"/>
                <w:color w:val="000000"/>
                <w:spacing w:val="1"/>
                <w:sz w:val="24"/>
                <w:highlight w:val="none"/>
              </w:rPr>
              <w:t xml:space="preserve">采购政策进行</w:t>
            </w:r>
            <w:r>
              <w:rPr>
                <w:rFonts w:hint="eastAsia" w:ascii="宋体" w:hAnsi="宋体"/>
                <w:color w:val="000000"/>
                <w:sz w:val="24"/>
                <w:highlight w:val="none"/>
              </w:rPr>
              <w:t xml:space="preserve">价格调整</w:t>
            </w:r>
            <w:r>
              <w:rPr>
                <w:rFonts w:hint="eastAsia" w:ascii="宋体" w:hAnsi="宋体"/>
                <w:color w:val="000000"/>
                <w:spacing w:val="-1"/>
                <w:sz w:val="24"/>
                <w:highlight w:val="none"/>
              </w:rPr>
              <w:t xml:space="preserve">后的最终报</w:t>
            </w:r>
            <w:r>
              <w:rPr>
                <w:rFonts w:hint="eastAsia" w:ascii="宋体" w:hAnsi="宋体"/>
                <w:color w:val="000000"/>
                <w:sz w:val="24"/>
                <w:highlight w:val="none"/>
              </w:rPr>
              <w:t xml:space="preserve">价。</w:t>
            </w:r>
            <w:r>
              <w:rPr>
                <w:rFonts w:hint="eastAsia" w:ascii="宋体" w:hAnsi="宋体"/>
                <w:color w:val="000000"/>
                <w:sz w:val="24"/>
                <w:highlight w:val="none"/>
              </w:rPr>
            </w:r>
            <w:r/>
          </w:p>
        </w:tc>
      </w:tr>
      <w:tr>
        <w:trPr>
          <w:trHeight w:val="544"/>
        </w:trPr>
        <w:tc>
          <w:tcPr>
            <w:tcW w:w="802" w:type="dxa"/>
            <w:vAlign w:val="center"/>
            <w:textDirection w:val="lrTb"/>
            <w:noWrap w:val="false"/>
          </w:tcPr>
          <w:p>
            <w:pPr>
              <w:pStyle w:val="1041"/>
              <w:jc w:val="center"/>
              <w:spacing w:before="140"/>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rPr>
            </w:r>
            <w:r/>
          </w:p>
        </w:tc>
        <w:tc>
          <w:tcPr>
            <w:tcW w:w="1096" w:type="dxa"/>
            <w:vAlign w:val="center"/>
            <w:textDirection w:val="lrTb"/>
            <w:noWrap w:val="false"/>
          </w:tcPr>
          <w:p>
            <w:pPr>
              <w:pStyle w:val="1041"/>
              <w:jc w:val="center"/>
              <w:spacing w:before="105"/>
              <w:rPr>
                <w:rFonts w:hint="eastAsia" w:ascii="宋体" w:hAnsi="宋体"/>
                <w:b/>
                <w:bCs/>
                <w:color w:val="000000"/>
                <w:sz w:val="24"/>
                <w:highlight w:val="none"/>
              </w:rPr>
            </w:pPr>
            <w:r>
              <w:rPr>
                <w:rFonts w:hint="eastAsia" w:ascii="宋体" w:hAnsi="宋体"/>
                <w:b/>
                <w:bCs/>
                <w:color w:val="000000"/>
                <w:spacing w:val="-2"/>
                <w:sz w:val="24"/>
                <w:highlight w:val="none"/>
              </w:rPr>
              <w:t xml:space="preserve">主观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center"/>
            <w:textDirection w:val="lrTb"/>
            <w:noWrap w:val="false"/>
          </w:tcPr>
          <w:p>
            <w:pPr>
              <w:pStyle w:val="1041"/>
              <w:ind w:left="272"/>
              <w:spacing w:before="139"/>
              <w:rPr>
                <w:rFonts w:ascii="宋体" w:hAnsi="宋体"/>
                <w:b/>
                <w:bCs/>
                <w:color w:val="000000"/>
                <w:sz w:val="24"/>
                <w:highlight w:val="none"/>
              </w:rPr>
            </w:pPr>
            <w:r>
              <w:rPr>
                <w:rFonts w:hint="eastAsia" w:ascii="宋体" w:hAnsi="宋体"/>
                <w:b/>
                <w:bCs/>
                <w:color w:val="000000"/>
                <w:spacing w:val="-3"/>
                <w:sz w:val="24"/>
                <w:highlight w:val="none"/>
              </w:rPr>
              <w:t xml:space="preserve">40</w:t>
            </w:r>
            <w:r>
              <w:rPr>
                <w:rFonts w:ascii="宋体" w:hAnsi="宋体"/>
                <w:b/>
                <w:bCs/>
                <w:color w:val="000000"/>
                <w:sz w:val="24"/>
                <w:highlight w:val="none"/>
              </w:rPr>
            </w:r>
            <w:r/>
          </w:p>
        </w:tc>
        <w:tc>
          <w:tcPr>
            <w:tcW w:w="4808"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c>
          <w:tcPr>
            <w:tcW w:w="1711"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r>
      <w:tr>
        <w:trPr>
          <w:trHeight w:val="1003"/>
        </w:trPr>
        <w:tc>
          <w:tcPr>
            <w:tcW w:w="802"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2.1</w:t>
            </w:r>
            <w:r>
              <w:rPr>
                <w:rFonts w:hint="eastAsia" w:ascii="宋体" w:hAnsi="宋体"/>
                <w:color w:val="000000"/>
                <w:spacing w:val="-2"/>
                <w:sz w:val="24"/>
                <w:highlight w:val="none"/>
              </w:rPr>
            </w:r>
            <w:r/>
          </w:p>
        </w:tc>
        <w:tc>
          <w:tcPr>
            <w:tcW w:w="1096"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施工组织方案</w:t>
            </w:r>
            <w:r>
              <w:rPr>
                <w:rFonts w:hint="eastAsia" w:ascii="宋体" w:hAnsi="宋体"/>
                <w:color w:val="000000"/>
                <w:spacing w:val="-2"/>
                <w:sz w:val="24"/>
                <w:highlight w:val="none"/>
              </w:rPr>
            </w:r>
            <w:r/>
          </w:p>
        </w:tc>
        <w:tc>
          <w:tcPr>
            <w:tcW w:w="782" w:type="dxa"/>
            <w:vAlign w:val="center"/>
            <w:textDirection w:val="lrTb"/>
            <w:noWrap w:val="false"/>
          </w:tcPr>
          <w:p>
            <w:pPr>
              <w:pStyle w:val="1041"/>
              <w:jc w:val="center"/>
              <w:spacing w:before="68"/>
              <w:rPr>
                <w:rFonts w:ascii="宋体" w:hAnsi="宋体"/>
                <w:color w:val="000000"/>
                <w:spacing w:val="-2"/>
                <w:sz w:val="24"/>
                <w:highlight w:val="none"/>
              </w:rPr>
            </w:pPr>
            <w:r>
              <w:rPr>
                <w:rFonts w:hint="eastAsia" w:ascii="宋体" w:hAnsi="宋体"/>
                <w:color w:val="000000"/>
                <w:spacing w:val="-2"/>
                <w:sz w:val="24"/>
                <w:highlight w:val="none"/>
              </w:rPr>
              <w:t xml:space="preserve">14</w:t>
            </w:r>
            <w:r>
              <w:rPr>
                <w:rFonts w:ascii="宋体" w:hAnsi="宋体"/>
                <w:color w:val="000000"/>
                <w:spacing w:val="-2"/>
                <w:sz w:val="24"/>
                <w:highlight w:val="none"/>
              </w:rPr>
            </w:r>
            <w:r/>
          </w:p>
        </w:tc>
        <w:tc>
          <w:tcPr>
            <w:tcW w:w="4808" w:type="dxa"/>
            <w:vAlign w:val="top"/>
            <w:textDirection w:val="lrTb"/>
            <w:noWrap w:val="false"/>
          </w:tcPr>
          <w:p>
            <w:pPr>
              <w:pStyle w:val="1041"/>
              <w:ind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包括施工组织设计、施工统筹安排等，磋商小组进行综合打分：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olor w:val="000000"/>
                <w:spacing w:val="-4"/>
                <w:sz w:val="24"/>
                <w:highlight w:val="none"/>
              </w:rPr>
            </w:pPr>
            <w:r>
              <w:rPr>
                <w:rFonts w:hint="eastAsia" w:ascii="宋体" w:hAnsi="宋体"/>
                <w:color w:val="000000"/>
                <w:spacing w:val="-4"/>
                <w:sz w:val="24"/>
                <w:highlight w:val="none"/>
              </w:rPr>
              <w:t xml:space="preserve">施工组织总体设想：</w:t>
            </w:r>
            <w:r>
              <w:rPr>
                <w:rFonts w:hint="eastAsia" w:ascii="宋体" w:hAnsi="宋体"/>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p>
            <w:pPr>
              <w:pStyle w:val="1041"/>
              <w:ind w:right="101" w:hanging="23"/>
              <w:rPr>
                <w:rFonts w:hint="eastAsia" w:ascii="宋体" w:hAnsi="宋体" w:cs="宋体"/>
                <w:color w:val="000000"/>
                <w:sz w:val="24"/>
                <w:highlight w:val="none"/>
              </w:rPr>
            </w:pPr>
            <w:r>
              <w:rPr>
                <w:rFonts w:hint="eastAsia" w:ascii="宋体" w:hAnsi="宋体"/>
                <w:color w:val="000000"/>
                <w:spacing w:val="-4"/>
                <w:sz w:val="24"/>
                <w:highlight w:val="none"/>
              </w:rPr>
              <w:t xml:space="preserve">2、</w:t>
            </w:r>
            <w:r>
              <w:rPr>
                <w:rFonts w:hint="eastAsia" w:ascii="宋体" w:hAnsi="宋体" w:cs="宋体"/>
                <w:color w:val="000000"/>
                <w:sz w:val="24"/>
                <w:highlight w:val="none"/>
              </w:rPr>
              <w:t xml:space="preserve">实施方案：</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s="宋体"/>
                <w:color w:val="000000"/>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2090"/>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2.2</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2"/>
                <w:sz w:val="24"/>
                <w:highlight w:val="none"/>
              </w:rPr>
              <w:t xml:space="preserve">质量保</w:t>
            </w:r>
            <w:r>
              <w:rPr>
                <w:rFonts w:hint="eastAsia" w:ascii="宋体" w:hAnsi="宋体"/>
                <w:color w:val="000000"/>
                <w:spacing w:val="-1"/>
                <w:sz w:val="24"/>
                <w:highlight w:val="none"/>
              </w:rPr>
              <w:t xml:space="preserve">证</w:t>
            </w:r>
            <w:r>
              <w:rPr>
                <w:rFonts w:hint="eastAsia" w:ascii="宋体" w:hAnsi="宋体"/>
                <w:color w:val="000000"/>
                <w:spacing w:val="-2"/>
                <w:sz w:val="24"/>
                <w:highlight w:val="none"/>
              </w:rPr>
              <w:t xml:space="preserve">措</w:t>
            </w:r>
            <w:r>
              <w:rPr>
                <w:rFonts w:hint="eastAsia" w:ascii="宋体" w:hAnsi="宋体"/>
                <w:color w:val="000000"/>
                <w:spacing w:val="-1"/>
                <w:sz w:val="24"/>
                <w:highlight w:val="none"/>
              </w:rPr>
              <w:t xml:space="preserve">施</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材料、施工质量保证措施及体系控制要点：根据本工程的规模、特定的结构、施工现场等情况制定出切实可行的方案等，磋商小组进行综合打分：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13" w:right="99"/>
              <w:spacing w:before="2"/>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780"/>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pacing w:val="-3"/>
                <w:sz w:val="24"/>
                <w:highlight w:val="none"/>
              </w:rPr>
              <w:t xml:space="preserve">2.3</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1"/>
                <w:sz w:val="24"/>
                <w:highlight w:val="none"/>
              </w:rPr>
              <w:t xml:space="preserve">工期保证措施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right="101" w:hanging="23"/>
              <w:widowControl/>
              <w:rPr>
                <w:rFonts w:hint="eastAsia" w:ascii="宋体" w:hAnsi="宋体" w:cs="宋体"/>
                <w:color w:val="000000"/>
                <w:sz w:val="24"/>
                <w:highlight w:val="none"/>
              </w:rPr>
            </w:pPr>
            <w:r>
              <w:rPr>
                <w:rFonts w:hint="eastAsia" w:ascii="宋体" w:hAnsi="宋体"/>
                <w:b/>
                <w:bCs/>
                <w:color w:val="000000"/>
                <w:spacing w:val="-4"/>
                <w:sz w:val="24"/>
                <w:highlight w:val="none"/>
              </w:rPr>
              <w:t xml:space="preserve">针对本工程施工进度计划的描述，以及为完成该计划所定措施、影响进度要素分析及所采取的措施，各阶段的进度保证措施等，磋商小组进行综合打分：</w:t>
            </w:r>
            <w:r>
              <w:rPr>
                <w:rFonts w:ascii="宋体" w:hAnsi="宋体"/>
                <w:b/>
                <w:bCs/>
                <w:color w:val="000000"/>
                <w:spacing w:val="-4"/>
                <w:sz w:val="24"/>
                <w:highlight w:val="none"/>
              </w:rPr>
              <w:br w:type="textWrapping" w:clear="all"/>
            </w: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ind w:left="114" w:right="104"/>
              <w:spacing w:before="46"/>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2.4</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安全管理措施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提供针对本项目的施工安全保证体系及文明施工、环境保护和消防措施等，磋商小组进行综合打分：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1"/>
                <w:sz w:val="24"/>
                <w:highlight w:val="none"/>
              </w:rPr>
              <w:t xml:space="preserve">2.</w:t>
            </w:r>
            <w:r>
              <w:rPr>
                <w:rFonts w:hint="eastAsia" w:ascii="宋体" w:hAnsi="宋体"/>
                <w:color w:val="000000"/>
                <w:sz w:val="24"/>
                <w:highlight w:val="none"/>
              </w:rPr>
              <w:t xml:space="preserve">5</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s="宋体"/>
                <w:color w:val="000000"/>
                <w:sz w:val="24"/>
                <w:highlight w:val="none"/>
              </w:rPr>
              <w:t xml:space="preserve">劳动力、机械设备和材料投入计划</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磋商小组根据供应商为本项目制定的劳动力、机械设备和材料投入计划进行综合评审。</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方案完整，能完全满足项目实施要求，得5分； </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2799"/>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成品保护及后期维护</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ascii="宋体" w:hAnsi="宋体"/>
                <w:color w:val="000000"/>
                <w:spacing w:val="-4"/>
                <w:sz w:val="24"/>
                <w:highlight w:val="none"/>
              </w:rPr>
              <w:t xml:space="preserve">成品保护方案</w:t>
            </w:r>
            <w:r>
              <w:rPr>
                <w:rFonts w:hint="eastAsia" w:ascii="宋体" w:hAnsi="宋体"/>
                <w:color w:val="000000"/>
                <w:spacing w:val="-4"/>
                <w:sz w:val="24"/>
                <w:highlight w:val="none"/>
              </w:rPr>
              <w:t xml:space="preserve">。</w:t>
            </w:r>
            <w:r>
              <w:rPr>
                <w:rFonts w:hint="eastAsia" w:ascii="宋体" w:hAnsi="宋体"/>
                <w:color w:val="000000"/>
                <w:spacing w:val="-4"/>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（1）方案完整，能完全满足项目实施要求，得6分；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461"/>
        </w:trPr>
        <w:tc>
          <w:tcPr>
            <w:tcW w:w="802" w:type="dxa"/>
            <w:vAlign w:val="top"/>
            <w:textDirection w:val="lrTb"/>
            <w:noWrap w:val="false"/>
          </w:tcPr>
          <w:p>
            <w:pPr>
              <w:pStyle w:val="1041"/>
              <w:jc w:val="center"/>
              <w:spacing w:before="143"/>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r>
            <w:r/>
          </w:p>
        </w:tc>
        <w:tc>
          <w:tcPr>
            <w:tcW w:w="1096" w:type="dxa"/>
            <w:vAlign w:val="top"/>
            <w:textDirection w:val="lrTb"/>
            <w:noWrap w:val="false"/>
          </w:tcPr>
          <w:p>
            <w:pPr>
              <w:pStyle w:val="1041"/>
              <w:jc w:val="center"/>
              <w:spacing w:before="107"/>
              <w:rPr>
                <w:rFonts w:hint="eastAsia" w:ascii="宋体" w:hAnsi="宋体"/>
                <w:b/>
                <w:bCs/>
                <w:color w:val="000000"/>
                <w:sz w:val="24"/>
                <w:highlight w:val="none"/>
              </w:rPr>
            </w:pPr>
            <w:r>
              <w:rPr>
                <w:rFonts w:hint="eastAsia" w:ascii="宋体" w:hAnsi="宋体"/>
                <w:b/>
                <w:bCs/>
                <w:color w:val="000000"/>
                <w:spacing w:val="-2"/>
                <w:sz w:val="24"/>
                <w:highlight w:val="none"/>
              </w:rPr>
              <w:t xml:space="preserve">客观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top"/>
            <w:textDirection w:val="lrTb"/>
            <w:noWrap w:val="false"/>
          </w:tcPr>
          <w:p>
            <w:pPr>
              <w:pStyle w:val="1041"/>
              <w:ind w:left="321"/>
              <w:spacing w:before="143"/>
              <w:rPr>
                <w:rFonts w:ascii="宋体" w:hAnsi="宋体"/>
                <w:b/>
                <w:bCs/>
                <w:color w:val="000000"/>
                <w:sz w:val="24"/>
                <w:highlight w:val="none"/>
              </w:rPr>
            </w:pPr>
            <w:r>
              <w:rPr>
                <w:rFonts w:hint="eastAsia" w:ascii="宋体" w:hAnsi="宋体"/>
                <w:b/>
                <w:bCs/>
                <w:color w:val="000000"/>
                <w:sz w:val="24"/>
                <w:highlight w:val="none"/>
              </w:rPr>
              <w:t xml:space="preserve">30</w:t>
            </w:r>
            <w:r>
              <w:rPr>
                <w:rFonts w:ascii="宋体" w:hAnsi="宋体"/>
                <w:b/>
                <w:bCs/>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b/>
                <w:bCs/>
                <w:color w:val="000000"/>
                <w:sz w:val="24"/>
                <w:highlight w:val="none"/>
              </w:rPr>
            </w:pPr>
            <w:r>
              <w:rPr>
                <w:rFonts w:hint="eastAsia"/>
                <w:b/>
                <w:bCs/>
                <w:color w:val="000000"/>
                <w:sz w:val="24"/>
                <w:highlight w:val="none"/>
              </w:rPr>
            </w:r>
            <w:r/>
          </w:p>
        </w:tc>
      </w:tr>
      <w:tr>
        <w:trPr>
          <w:trHeight w:val="1767"/>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pacing w:val="-5"/>
                <w:sz w:val="24"/>
                <w:highlight w:val="none"/>
              </w:rPr>
              <w:t xml:space="preserve">3</w:t>
            </w:r>
            <w:r>
              <w:rPr>
                <w:rFonts w:hint="eastAsia" w:ascii="宋体" w:hAnsi="宋体"/>
                <w:color w:val="000000"/>
                <w:spacing w:val="-3"/>
                <w:sz w:val="24"/>
                <w:highlight w:val="none"/>
              </w:rPr>
              <w:t xml:space="preserve">.1</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2"/>
                <w:sz w:val="24"/>
                <w:highlight w:val="none"/>
              </w:rPr>
              <w:t xml:space="preserve">类</w:t>
            </w:r>
            <w:r>
              <w:rPr>
                <w:rFonts w:hint="eastAsia" w:ascii="宋体" w:hAnsi="宋体"/>
                <w:color w:val="000000"/>
                <w:spacing w:val="-1"/>
                <w:sz w:val="24"/>
                <w:highlight w:val="none"/>
              </w:rPr>
              <w:t xml:space="preserve">似业绩</w:t>
            </w:r>
            <w:r>
              <w:rPr>
                <w:rFonts w:hint="eastAsia" w:ascii="宋体" w:hAnsi="宋体"/>
                <w:color w:val="000000"/>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供应商提供自2023年1月1日以来至本项目磋商公告发布之日止（时间以合同签订日期为准）承接过的类似维修改造项目工程业绩，每提供一份有效业绩合同得4分，本项最高得12分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rPr>
            </w:r>
            <w:r/>
          </w:p>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类似业绩”与“项目负责人业绩”可兼得分</w:t>
            </w:r>
            <w:r>
              <w:rPr>
                <w:rFonts w:hint="eastAsia" w:ascii="宋体" w:hAnsi="宋体"/>
                <w:color w:val="000000"/>
                <w:spacing w:val="-4"/>
                <w:sz w:val="24"/>
                <w:highlight w:val="none"/>
              </w:rPr>
            </w:r>
            <w:r/>
          </w:p>
        </w:tc>
      </w:tr>
      <w:tr>
        <w:trPr>
          <w:trHeight w:val="3075"/>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.2</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rPr>
              <w:t xml:space="preserve">驻场项目组成员（</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除外）</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808" w:type="dxa"/>
            <w:vAlign w:val="top"/>
            <w:textDirection w:val="lrTb"/>
            <w:noWrap w:val="false"/>
          </w:tcPr>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具有建筑工程类工程师及以上职称证书的，每配备1人，得2分，最高得4分；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具有有效的二级及以上注册建造师资格，每配备1人，得2分，最高得4分；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具有安全员证书（C证）的每配备1人，得1分，最高得2分； </w:t>
            </w:r>
            <w:r>
              <w:rPr>
                <w:rFonts w:hint="eastAsia" w:ascii="宋体" w:hAnsi="宋体"/>
                <w:color w:val="000000"/>
                <w:spacing w:val="-4"/>
                <w:sz w:val="24"/>
                <w:highlight w:val="none"/>
              </w:rPr>
            </w:r>
            <w:r/>
          </w:p>
          <w:p>
            <w:pPr>
              <w:pStyle w:val="1041"/>
              <w:ind w:left="113" w:right="101"/>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ind w:left="136" w:right="101" w:hanging="23"/>
              <w:rPr>
                <w:rFonts w:ascii="宋体" w:hAnsi="宋体" w:eastAsia="宋体"/>
                <w:color w:val="000000"/>
                <w:spacing w:val="-4"/>
                <w:sz w:val="24"/>
                <w:highlight w:val="none"/>
                <w:lang w:val="en-US" w:eastAsia="zh-CN"/>
              </w:rPr>
            </w:pPr>
            <w:r>
              <w:rPr>
                <w:rFonts w:hint="eastAsia" w:ascii="宋体" w:hAnsi="宋体"/>
                <w:color w:val="000000"/>
                <w:spacing w:val="-4"/>
                <w:sz w:val="24"/>
                <w:highlight w:val="none"/>
                <w:lang w:val="en-US" w:eastAsia="zh-CN"/>
              </w:rPr>
              <w:t xml:space="preserve">1、</w:t>
            </w:r>
            <w:r>
              <w:rPr>
                <w:rFonts w:hint="eastAsia" w:ascii="宋体" w:hAnsi="宋体"/>
                <w:color w:val="000000"/>
                <w:spacing w:val="-4"/>
                <w:sz w:val="24"/>
                <w:highlight w:val="none"/>
              </w:rPr>
              <w:t xml:space="preserve">以上1-3人员不得重复得分。提供有效的相关证书+本单位为其缴纳的</w:t>
            </w:r>
            <w:r>
              <w:rPr>
                <w:rFonts w:hint="eastAsia" w:ascii="宋体" w:hAnsi="宋体"/>
                <w:color w:val="000000"/>
                <w:spacing w:val="-4"/>
                <w:sz w:val="24"/>
                <w:highlight w:val="none"/>
                <w:lang w:eastAsia="zh-CN"/>
              </w:rPr>
              <w:t xml:space="preserve">近三个月（2026年2月-2026年4月）内任意一个月社保缴费证明</w:t>
            </w:r>
            <w:r>
              <w:rPr>
                <w:rFonts w:hint="eastAsia" w:ascii="宋体" w:hAnsi="宋体"/>
                <w:color w:val="000000"/>
                <w:spacing w:val="-4"/>
                <w:sz w:val="24"/>
                <w:highlight w:val="none"/>
              </w:rPr>
              <w:t xml:space="preserve">（加盖社保部门签章）复印件，否则不得分。</w:t>
            </w:r>
            <w:r>
              <w:rPr>
                <w:rFonts w:hint="eastAsia" w:ascii="宋体" w:hAnsi="宋体"/>
                <w:color w:val="000000"/>
                <w:spacing w:val="-4"/>
                <w:sz w:val="24"/>
                <w:highlight w:val="none"/>
                <w:lang w:val="en-US" w:eastAsia="zh-CN"/>
              </w:rPr>
              <w:t xml:space="preserve">2、如果职称证书不能体现专业的需提供对应专业的毕业证书</w:t>
            </w:r>
            <w:r>
              <w:rPr>
                <w:rFonts w:ascii="宋体" w:hAnsi="宋体" w:eastAsia="宋体"/>
                <w:color w:val="000000"/>
                <w:spacing w:val="-4"/>
                <w:sz w:val="24"/>
                <w:highlight w:val="none"/>
                <w:lang w:val="en-US" w:eastAsia="zh-CN"/>
              </w:rPr>
            </w:r>
            <w:r/>
          </w:p>
        </w:tc>
      </w:tr>
      <w:tr>
        <w:trPr>
          <w:trHeight w:val="441"/>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.3</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2"/>
                <w:sz w:val="24"/>
                <w:highlight w:val="none"/>
              </w:rPr>
              <w:t xml:space="preserve">业绩</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拟提供自2023年1月1日以来至本项目磋商公告发布之日止(时间以合同签订日期为准)承接过的类似维修改造项目工程业绩，每提供一份有效业绩合同得4分，本项最高得8分。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6"/>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如果合同中未体现，需加盖建设单位章的证明材料。</w:t>
            </w:r>
            <w:r>
              <w:rPr>
                <w:rFonts w:hint="eastAsia" w:ascii="宋体" w:hAnsi="宋体"/>
                <w:color w:val="000000"/>
                <w:spacing w:val="-4"/>
                <w:sz w:val="24"/>
                <w:highlight w:val="none"/>
              </w:rPr>
            </w:r>
            <w:r/>
          </w:p>
          <w:p>
            <w:pPr>
              <w:pStyle w:val="1041"/>
              <w:ind w:left="136" w:right="101" w:hanging="23"/>
              <w:rPr>
                <w:rFonts w:ascii="宋体" w:hAnsi="宋体"/>
                <w:color w:val="000000"/>
                <w:spacing w:val="-4"/>
                <w:sz w:val="24"/>
                <w:highlight w:val="none"/>
              </w:rPr>
            </w:pPr>
            <w:r>
              <w:rPr>
                <w:rFonts w:hint="eastAsia" w:ascii="宋体" w:hAnsi="宋体"/>
                <w:color w:val="000000"/>
                <w:spacing w:val="-4"/>
                <w:sz w:val="24"/>
                <w:highlight w:val="none"/>
                <w:lang w:val="en-US" w:eastAsia="zh-CN"/>
              </w:rPr>
              <w:t xml:space="preserve">2、</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lang w:val="en-US" w:eastAsia="zh-CN"/>
              </w:rPr>
              <w:t xml:space="preserve">业绩”可兼得分</w:t>
            </w:r>
            <w:r>
              <w:rPr>
                <w:rFonts w:ascii="宋体" w:hAnsi="宋体"/>
                <w:color w:val="000000"/>
                <w:spacing w:val="-4"/>
                <w:sz w:val="24"/>
                <w:highlight w:val="none"/>
              </w:rPr>
            </w:r>
            <w:r/>
          </w:p>
        </w:tc>
      </w:tr>
      <w:tr>
        <w:trPr>
          <w:trHeight w:val="474"/>
        </w:trPr>
        <w:tc>
          <w:tcPr>
            <w:gridSpan w:val="2"/>
            <w:tcW w:w="1898"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合计</w:t>
            </w:r>
            <w:r>
              <w:rPr>
                <w:rFonts w:hint="eastAsia" w:ascii="宋体" w:hAnsi="宋体"/>
                <w:color w:val="000000"/>
                <w:spacing w:val="-1"/>
                <w:sz w:val="24"/>
                <w:highlight w:val="none"/>
              </w:rPr>
            </w:r>
            <w:r/>
          </w:p>
        </w:tc>
        <w:tc>
          <w:tcPr>
            <w:tcW w:w="782"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100</w:t>
            </w:r>
            <w:r>
              <w:rPr>
                <w:rFonts w:hint="eastAsia" w:ascii="宋体" w:hAnsi="宋体"/>
                <w:color w:val="000000"/>
                <w:spacing w:val="-1"/>
                <w:sz w:val="24"/>
                <w:highlight w:val="none"/>
              </w:rPr>
            </w:r>
            <w:r/>
          </w:p>
        </w:tc>
        <w:tc>
          <w:tcPr>
            <w:gridSpan w:val="2"/>
            <w:tcW w:w="6519" w:type="dxa"/>
            <w:vAlign w:val="top"/>
            <w:textDirection w:val="lrTb"/>
            <w:noWrap w:val="false"/>
          </w:tcPr>
          <w:p>
            <w:pPr>
              <w:pStyle w:val="1041"/>
              <w:spacing w:before="146"/>
              <w:rPr>
                <w:rFonts w:hint="eastAsia" w:ascii="宋体" w:hAnsi="宋体"/>
                <w:color w:val="000000"/>
                <w:sz w:val="24"/>
                <w:highlight w:val="none"/>
              </w:rPr>
            </w:pPr>
            <w:r>
              <w:rPr>
                <w:rFonts w:hint="eastAsia" w:ascii="宋体" w:hAnsi="宋体"/>
                <w:color w:val="000000"/>
                <w:sz w:val="24"/>
                <w:highlight w:val="none"/>
              </w:rPr>
            </w:r>
            <w:r/>
          </w:p>
        </w:tc>
      </w:tr>
    </w:tbl>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注：1.评分细则中要求提供的证明文件及资料等在磋商响应文件中提供并加盖公章，否则不得分。</w:t>
      </w:r>
      <w:r>
        <w:rPr>
          <w:rFonts w:hint="eastAsia" w:ascii="宋体" w:hAnsi="宋体" w:cs="宋体"/>
          <w:bCs/>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t xml:space="preserve">2.评审时，未能按以上要求提供相应证明的，不作为评审依据，不得分。</w:t>
      </w:r>
      <w:bookmarkStart w:id="617" w:name="_Toc104818928"/>
      <w:r/>
      <w:bookmarkStart w:id="618" w:name="_Toc8874"/>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1"/>
        <w:contextualSpacing/>
        <w:jc w:val="center"/>
        <w:spacing w:line="360" w:lineRule="auto"/>
        <w:rPr>
          <w:b/>
          <w:color w:val="000000"/>
          <w:sz w:val="36"/>
          <w:szCs w:val="36"/>
          <w:highlight w:val="none"/>
        </w:rPr>
        <w:outlineLvl w:val="0"/>
      </w:pPr>
      <w:r/>
      <w:bookmarkStart w:id="619" w:name="_Toc13572"/>
      <w:r/>
      <w:bookmarkStart w:id="620" w:name="_Toc1661"/>
      <w:r/>
      <w:bookmarkStart w:id="621" w:name="_Toc24222"/>
      <w:r>
        <w:rPr>
          <w:b/>
          <w:color w:val="000000"/>
          <w:sz w:val="36"/>
          <w:szCs w:val="36"/>
          <w:highlight w:val="none"/>
        </w:rPr>
        <w:t xml:space="preserve">第四章   采购需求</w:t>
      </w:r>
      <w:bookmarkEnd w:id="617"/>
      <w:r/>
      <w:bookmarkEnd w:id="618"/>
      <w:r/>
      <w:bookmarkEnd w:id="619"/>
      <w:r/>
      <w:bookmarkEnd w:id="620"/>
      <w:r/>
      <w:bookmarkEnd w:id="621"/>
      <w:r>
        <w:rPr>
          <w:b/>
          <w:color w:val="000000"/>
          <w:sz w:val="36"/>
          <w:szCs w:val="36"/>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41"/>
        <w:ind w:firstLine="488"/>
        <w:spacing w:line="360" w:lineRule="auto"/>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本项目是常州机电职业技术学院善学楼（东教学楼）升级改造项目，</w:t>
      </w: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bCs/>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二、商务要求</w:t>
      </w:r>
      <w:r>
        <w:rPr>
          <w:rFonts w:hint="eastAsia" w:ascii="宋体" w:hAnsi="宋体" w:cs="宋体"/>
          <w:b/>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（一）服务期限</w:t>
      </w:r>
      <w:r>
        <w:rPr>
          <w:rFonts w:hint="eastAsia" w:ascii="宋体" w:hAnsi="宋体" w:cs="宋体"/>
          <w:b/>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50天，以开工时间为准。</w:t>
      </w:r>
      <w:r>
        <w:rPr>
          <w:rFonts w:hint="eastAsia" w:ascii="宋体" w:hAnsi="宋体" w:cs="宋体"/>
          <w:bCs/>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（二）付款方式</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w:t>
      </w:r>
      <w:r>
        <w:rPr>
          <w:rFonts w:hint="eastAsia" w:ascii="宋体" w:hAnsi="宋体" w:cs="宋体"/>
          <w:b/>
          <w:color w:val="000000"/>
          <w:sz w:val="24"/>
          <w:highlight w:val="none"/>
          <w:lang w:val="en-US" w:eastAsia="zh-CN"/>
        </w:rPr>
        <w:t xml:space="preserve">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1.服务要求</w:t>
      </w:r>
      <w:r>
        <w:rPr>
          <w:rFonts w:hint="eastAsia" w:ascii="宋体" w:hAnsi="宋体" w:cs="宋体"/>
          <w:bCs/>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执行标准：国家相关建设法律法规。</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验收标准：国家相关建设验收规范</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采购工程的施工图纸、工程量清单和最高限价各贰份及审计部门复核的审计报告一份。</w:t>
      </w:r>
      <w:r>
        <w:rPr>
          <w:rFonts w:hint="eastAsia" w:ascii="宋体" w:hAnsi="宋体"/>
          <w:color w:val="000000"/>
          <w:sz w:val="24"/>
          <w:highlight w:val="none"/>
        </w:rPr>
      </w:r>
      <w:r/>
    </w:p>
    <w:p>
      <w:pPr>
        <w:pStyle w:val="1041"/>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质量要求:符合国家相关质量标准，一次性验收合格。</w:t>
      </w:r>
      <w:r>
        <w:rPr>
          <w:rFonts w:hint="eastAsia" w:ascii="宋体" w:hAnsi="宋体" w:cs="宋体"/>
          <w:color w:val="000000"/>
          <w:sz w:val="24"/>
          <w:highlight w:val="none"/>
        </w:rPr>
      </w:r>
      <w:r/>
    </w:p>
    <w:p>
      <w:pPr>
        <w:pStyle w:val="104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质保期：装修工程、电气管线等配套工程2年，屋面防水工程5年。（自验收合格之日起）</w:t>
      </w:r>
      <w:r>
        <w:rPr>
          <w:rFonts w:hint="eastAsia" w:ascii="宋体" w:hAnsi="宋体" w:cs="宋体"/>
          <w:b/>
          <w:bCs/>
          <w:color w:val="000000"/>
          <w:sz w:val="24"/>
          <w:highlight w:val="none"/>
        </w:rPr>
      </w:r>
      <w:r/>
    </w:p>
    <w:p>
      <w:pPr>
        <w:pStyle w:val="104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2.其他要求</w:t>
      </w:r>
      <w:r>
        <w:rPr>
          <w:rFonts w:hint="eastAsia" w:ascii="宋体" w:hAnsi="宋体" w:cs="宋体"/>
          <w:b/>
          <w:color w:val="000000"/>
          <w:sz w:val="24"/>
          <w:highlight w:val="none"/>
        </w:rPr>
      </w:r>
      <w:r/>
    </w:p>
    <w:p>
      <w:pPr>
        <w:pStyle w:val="1157"/>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szCs w:val="24"/>
          <w:highlight w:val="none"/>
          <w:u w:val="single"/>
        </w:rPr>
        <w:t xml:space="preserve"> 100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41"/>
        <w:ind w:right="210"/>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四、采用的主要技术规范</w:t>
      </w:r>
      <w:r>
        <w:rPr>
          <w:rFonts w:ascii="宋体" w:hAnsi="宋体" w:cs="宋体"/>
          <w:b/>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1、《江苏省建筑与装饰工程计价表》2014版及勘误、《江苏省安装工程计价定额》2014版、《江苏省房屋修缮工程定额》2010版、</w:t>
      </w:r>
      <w:r>
        <w:rPr>
          <w:rFonts w:hint="eastAsia" w:ascii="宋体" w:hAnsi="宋体"/>
          <w:bCs/>
          <w:color w:val="000000"/>
          <w:sz w:val="24"/>
          <w:highlight w:val="none"/>
        </w:rPr>
        <w:t xml:space="preserve">2014版</w:t>
      </w:r>
      <w:r>
        <w:rPr>
          <w:rFonts w:hint="eastAsia" w:ascii="宋体" w:hAnsi="Arial" w:cs="宋体"/>
          <w:color w:val="000000"/>
          <w:sz w:val="24"/>
          <w:highlight w:val="none"/>
        </w:rPr>
        <w:t xml:space="preserve">《江苏省市政工程计价定额》、</w:t>
      </w:r>
      <w:r>
        <w:rPr>
          <w:rFonts w:hint="eastAsia" w:ascii="宋体" w:cs="宋体"/>
          <w:color w:val="000000"/>
          <w:sz w:val="24"/>
          <w:highlight w:val="none"/>
        </w:rPr>
        <w:t xml:space="preserve">《江苏省建设工程费用定额》2014版；</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2、人工费按苏建函价[2026]27号文《省住房和城乡建设厅关于发布建设工程人工工资指导价的通知》执行。</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3、</w:t>
      </w:r>
      <w:r>
        <w:rPr>
          <w:rFonts w:hint="eastAsia" w:ascii="宋体" w:cs="宋体"/>
          <w:color w:val="000000"/>
          <w:sz w:val="24"/>
          <w:highlight w:val="none"/>
          <w:lang w:val="zh-CN"/>
        </w:rPr>
        <w:t xml:space="preserve">相关费率：措施项目、规费、税金按常建（2014）279号文、苏建价（2014）448</w:t>
      </w:r>
      <w:r>
        <w:rPr>
          <w:rFonts w:hint="eastAsia" w:ascii="宋体" w:cs="宋体"/>
          <w:color w:val="000000"/>
          <w:sz w:val="24"/>
          <w:highlight w:val="none"/>
        </w:rPr>
        <w:t xml:space="preserve">号文、苏建价（2016）154号文、苏建价函（2019）178号文、常建（2019）1号文、（2019）第19号文、常住建（2020）99号文及其他有关工程造价方面的法律法规、办法、规定等。</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4、材料价格按市场询价计算，凡本清单内容中明确的，按清单的要求编制投标报价；本清单未作说明的，按上述规范、文件和要求编制投标报价。</w:t>
      </w:r>
      <w:r>
        <w:rPr>
          <w:rFonts w:hint="eastAsia" w:ascii="宋体" w:cs="宋体"/>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用于本工程的所有材料、设备必须符合有关规范、规定的质量要求。且所有材料及设备的品牌、规格型号、色号、产地、生产产家、参数、性能、价格等均须征求采购人同意。即成交供应商对用于本工程的所有材料及设备的品牌、规格型号、色号、产地、生产产家、参数、性能、价格等负责。</w:t>
      </w:r>
      <w:r>
        <w:rPr>
          <w:rFonts w:hint="eastAsia" w:ascii="宋体" w:hAnsi="宋体" w:cs="宋体"/>
          <w:bCs/>
          <w:color w:val="000000"/>
          <w:sz w:val="24"/>
          <w:highlight w:val="none"/>
        </w:rPr>
      </w:r>
      <w:r/>
    </w:p>
    <w:p>
      <w:pPr>
        <w:pStyle w:val="1041"/>
        <w:ind w:right="21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以上相关法规规范，若有更新，均以最新版为准。</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6、对材料的质量、试验及施工工艺的要求：按国家、省、市现行文件和标准规定。</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7、按市现行文件和标准规定执行。</w:t>
      </w:r>
      <w:r>
        <w:rPr>
          <w:rFonts w:hint="eastAsia" w:ascii="宋体" w:hAnsi="宋体" w:cs="宋体"/>
          <w:b/>
          <w:color w:val="000000"/>
          <w:sz w:val="24"/>
          <w:highlight w:val="none"/>
        </w:rPr>
      </w:r>
      <w:r/>
    </w:p>
    <w:p>
      <w:pPr>
        <w:pStyle w:val="1041"/>
        <w:ind w:right="21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五、结算原则</w:t>
      </w:r>
      <w:r>
        <w:rPr>
          <w:rFonts w:hint="eastAsia" w:ascii="宋体" w:hAnsi="宋体" w:cs="宋体"/>
          <w:b/>
          <w:bCs/>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041"/>
        <w:ind w:right="21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六、报价方式</w:t>
      </w:r>
      <w:r>
        <w:rPr>
          <w:rFonts w:hint="eastAsia" w:ascii="宋体" w:hAnsi="宋体" w:cs="宋体"/>
          <w:b/>
          <w:color w:val="000000"/>
          <w:sz w:val="24"/>
          <w:highlight w:val="none"/>
        </w:rPr>
      </w:r>
      <w:r/>
    </w:p>
    <w:p>
      <w:pPr>
        <w:pStyle w:val="1041"/>
        <w:ind w:firstLine="480"/>
        <w:spacing w:line="360" w:lineRule="auto"/>
        <w:rPr>
          <w:rFonts w:hint="eastAsia"/>
          <w:color w:val="000000"/>
          <w:highlight w:val="none"/>
        </w:rPr>
      </w:pPr>
      <w:r>
        <w:rPr>
          <w:rFonts w:hint="eastAsia" w:ascii="宋体" w:hAnsi="宋体" w:cs="宋体"/>
          <w:color w:val="000000"/>
          <w:sz w:val="24"/>
          <w:highlight w:val="none"/>
        </w:rPr>
        <w:t xml:space="preserve">本项目磋商报价为</w:t>
      </w:r>
      <w:r>
        <w:rPr>
          <w:rFonts w:hint="eastAsia" w:ascii="宋体" w:hAnsi="宋体" w:cs="宋体"/>
          <w:b/>
          <w:bCs/>
          <w:color w:val="000000"/>
          <w:sz w:val="24"/>
          <w:highlight w:val="none"/>
        </w:rPr>
        <w:t xml:space="preserve">固定综合单价</w:t>
      </w: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招标代理费用等</w:t>
      </w:r>
      <w:r>
        <w:rPr>
          <w:rFonts w:hint="eastAsia" w:ascii="宋体" w:hAnsi="宋体" w:cs="宋体"/>
          <w:color w:val="000000"/>
          <w:sz w:val="24"/>
          <w:highlight w:val="none"/>
        </w:rPr>
        <w:t xml:space="preserve">包含的所有风险、责任等各项应有费用，以及为完成该项服务项目所涉及到的一切相关费用，采购人不再支付其他任何费用。</w:t>
      </w:r>
      <w:r>
        <w:rPr>
          <w:rFonts w:hint="eastAsia"/>
          <w:color w:val="000000"/>
          <w:highlight w:val="none"/>
        </w:rPr>
      </w:r>
      <w:r/>
    </w:p>
    <w:p>
      <w:pPr>
        <w:pStyle w:val="1041"/>
        <w:contextualSpacing/>
        <w:ind w:left="0" w:right="210"/>
        <w:jc w:val="left"/>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七</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投标报价</w:t>
      </w:r>
      <w:r>
        <w:rPr>
          <w:rFonts w:hint="eastAsia" w:ascii="宋体" w:hAnsi="宋体" w:eastAsia="宋体" w:cs="宋体"/>
          <w:b/>
          <w:bCs w:val="0"/>
          <w:color w:val="000000"/>
          <w:sz w:val="24"/>
          <w:highlight w:val="none"/>
          <w:lang w:val="en-US" w:eastAsia="zh-CN"/>
        </w:rPr>
        <w:t xml:space="preserve">要求</w:t>
      </w:r>
      <w:r>
        <w:rPr>
          <w:rFonts w:ascii="宋体" w:hAnsi="宋体" w:eastAsia="宋体" w:cs="宋体"/>
          <w:b/>
          <w:bCs w:val="0"/>
          <w:color w:val="000000"/>
          <w:sz w:val="24"/>
          <w:highlight w:val="none"/>
          <w:lang w:val="en-US" w:eastAsia="zh-CN"/>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投标报价是按</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规定的招标范围内工程量清单所列项目的全部费用总和，是设计图纸、</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工程采用“工程量清单计价方式”按综合单价计价。综合单价是相对于工程量清单计价而言，对完成一个规定计量单位的分部分项清单项目或措施清单项目所需的人工费、材料费、施工机械使用费、企业管理费、利润以及包含一定范围因素的价格表示。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1.2本工程投标报价的编制应按《建设工程工程量清单计价规范》(GB50500-2013) 等规范、文件要求编制。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应按规范及相关文件的规定自主确定投标报价。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1.3由于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及相关文件的理解产生的误解和偏差，责任由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自负。</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1.4投标报价的编制要求：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的投标报价高于最高限价，综合单价高于限价综合单价的按无效响应文件处理。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1.4.2 </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必须按照招标工程量清单填报价格。项目编码、项目名称、项目特征、计量单位、工程量必须与招标工程量清单一致（</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自行补充的措施项目除外），否则按无效响应文件处理。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的综合单价中应包括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中规定的应由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承担的风险范围及其费用。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的分部分项工程和措施项目中的单价项目，应根据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、设计文件和招标工程量清单项目中的特征描述确定综合单价计算。当设计文件与工程量清单项目特征描述不一致时，以工程量清单项目特征描述为准。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中提供了暂估单价的材料或设备，按暂估的单价计入综合单价。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1.4.5措施项目中的总价项目金额应根据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及投标时拟定的施工组织设计或施工方案，按工程清单计价规范的规定自主确定。</w:t>
      </w:r>
      <w:r>
        <w:rPr>
          <w:rFonts w:hint="eastAsia" w:ascii="宋体" w:hAnsi="宋体" w:eastAsia="宋体" w:cs="宋体"/>
          <w:color w:val="000000"/>
          <w:sz w:val="24"/>
          <w:highlight w:val="none"/>
        </w:rPr>
      </w:r>
      <w:r/>
    </w:p>
    <w:p>
      <w:pPr>
        <w:pStyle w:val="104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★其中安全文明施工费费率与招标清单费率一致，否则按无效响应文件处理。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对招标人所列的措施项目，</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可根据工程实际与施工组织设计进行增补，但不应更改招标人已列措施项目。结算时，除工程变更引起施工方案改变外，承包人不得以招标工程措施项目清单缺项为由要求新增措施项目。</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1.4.6其他项目应按下列规定报价：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★暂列金额应按招标工程量清单中列出的金额填写，否则按无效响应文件处理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2）材料、工程设备暂估价应按招标工程量清单中列出的单价计入综合单价；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3）专业工程暂估价应按招标工程量清单中列出的金额填写；</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4）计日工应按招标工程量清单中列出的项目和数量，自主确定综合单价并计算计日工金额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1.4.7</w:t>
      </w:r>
      <w:r>
        <w:rPr>
          <w:rFonts w:hint="eastAsia" w:ascii="宋体" w:hAnsi="宋体" w:eastAsia="宋体" w:cs="宋体"/>
          <w:b/>
          <w:bCs/>
          <w:color w:val="000000"/>
          <w:sz w:val="24"/>
          <w:highlight w:val="none"/>
        </w:rPr>
        <w:t xml:space="preserve">规费和税金费率必须与招标工程量清单一致，否则按无效响应文件处理。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1.4.8除非招标人对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予以修改，否则</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应按招标人提供的工程量清单中列出的工程项目和工程量填报单价和合价。每一项目只允许有一个报价，任何有选择的报价将不予接受。工程量清单计价格式中列明的所有需要填报的单价和合价，</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均应填报，未填报的单价和合价，视为此项费用已包含在工程量清单的其他单价和合价中。当竣工结算时，此项目不得重新组价予以调整。</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1.4.9</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的投标总价应当与组成工程量清单的分部分项工程费、措施项目费、其他项目费和规费、税金的合计金额相一致，即</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在投标报价时，不能进行投标总价优惠（或降价、让利），</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对招标人的任何优惠（或降价、让利）均应反映在相应清单项目的综合单价中。</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1.4.10其他项目清单中的暂列金额等项目费均为估算、预测算，虽在投标时计入</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的报价中，但不应视为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1.4.11工程量清单中的工程数量是按《建设工程工程量清单计价规范》（GB50500-2013）的工程量规则进行计算的，施工中所用的材料、成品、半成品在制作、运输、安装中等发生的一切损耗应包括在报价内。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1.4.12工程量清单项目特征描述中列明材料暂估数量（或含量）的，投标报价时按暂估数量（或含量）进行组价、不得改变，竣工结算时其用量按实调整，材料价格不变；工程量清单中未明确材料数量（或含量）的按施工规范及施工图纸要求由投标单位自行测算后在综合单价组价中考虑，一旦中标，其数量（或含量）不再调整（招标人要求的变更除外）。</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1.4.13工程量清单中未提供可选品牌的，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应根据清单项目特征描述及设计文件要求确定品牌（或规格、型号、产地）后，根据市场行情及自身实际情况进行报价。材料单价为到工地价，须包含采购保管费、运杂费（含场内运输费）等所有相关费用。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1.4.14招标人已提供材料备选品牌的，投标单位应按约定品牌选择其一进行报价，并将所选品牌表编入</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技术标书中；如</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拟在推荐品牌（或规格、型号、产地）外自行选择品牌，自选品牌应在性能、价格、技术指标、技术参数、使用寿命等方面均不低于备选品牌相应性能、价格、技术指标、技术参数、使用寿命等方面的要求，同时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须在网上答疑截止前向招标人提出，并提交书面相应证明材料原件的扫描件，经招标人审核确认，将以</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答疑方式告知所有</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予以增加，没有得到招标人书面认可的材料品牌一律不予接受，其相应的投标书将视为未能对本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作出实质性响应，将作无效标处理。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1.4.15凡清单中提供可选品牌的材料（设备），投标报价的“</w:t>
      </w:r>
      <w:r>
        <w:rPr>
          <w:rFonts w:hint="eastAsia" w:ascii="宋体" w:hAnsi="宋体" w:eastAsia="宋体" w:cs="宋体"/>
          <w:color w:val="000000"/>
          <w:sz w:val="24"/>
          <w:highlight w:val="none"/>
          <w:lang w:val="en-US" w:eastAsia="zh-CN"/>
        </w:rPr>
        <w:t xml:space="preserve">品牌推荐表</w:t>
      </w:r>
      <w:r>
        <w:rPr>
          <w:rFonts w:hint="eastAsia" w:ascii="宋体" w:hAnsi="宋体" w:eastAsia="宋体" w:cs="宋体"/>
          <w:color w:val="000000"/>
          <w:sz w:val="24"/>
          <w:highlight w:val="none"/>
        </w:rPr>
        <w:t xml:space="preserve">”中未注明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所选择的材料（设备）的品牌（或规格、型号、产地）的 ，视为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同意由发包人在可选品牌范围内自由选择相应材料（设备）的品牌（或规格、型号、产地） ，因可选品牌材料（设备）之间客观存在的差异所引起的价格差异由投标单位在投标报价时综合考虑。中标后，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不得因此提出价格调整的要求。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1.4.16</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在投标前应对现场进行认真踏勘，熟悉工程现场和周围环境，了解一切可能影响投标方案、报价等编制</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的资料，并承担考查现场的责任和风险以及踏勘现场所发生的自身费用。中标后，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因现场踏勘不仔细所产生的索赔招标人不予接受。为满足工程施工所需的生产区和生活区、办公区等的搭设或租赁、工程临边安全范围内所需的防护措施的搭设或所用材料的租赁、以及发生的二次搬运等（包括但不限于以上内容）均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在投标报价中自行考虑，结算时不再另行增加费用。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1.4.17一旦中标，办理招投标备案等手续中所要缴纳的除规费外的其他费用应综合考虑在投标报价内。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1.4.18其余要求见《建设工程工程量清单计价规范》（GB50500-2013）及其配套文件以及</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的约定。</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1.4.19施工过程中必须满足“政府令〔2021〕14号常州市扬尘污染防治管理办法”相关规定，相关费用在投标报价中考虑。</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1.4.</w:t>
      </w:r>
      <w:r>
        <w:rPr>
          <w:rFonts w:hint="eastAsia" w:ascii="宋体" w:hAnsi="宋体" w:eastAsia="宋体" w:cs="宋体"/>
          <w:b/>
          <w:bCs/>
          <w:color w:val="000000"/>
          <w:sz w:val="24"/>
          <w:highlight w:val="none"/>
          <w:lang w:val="en-US" w:eastAsia="zh-CN"/>
        </w:rPr>
        <w:t xml:space="preserve">20上述描述与编制说明不一致以编制说明为准。</w:t>
      </w:r>
      <w:r>
        <w:rPr>
          <w:rFonts w:hint="eastAsia" w:ascii="宋体" w:hAnsi="宋体" w:eastAsia="宋体" w:cs="宋体"/>
          <w:b/>
          <w:bCs/>
          <w:color w:val="000000"/>
          <w:sz w:val="24"/>
          <w:highlight w:val="none"/>
          <w:lang w:val="en-US" w:eastAsia="zh-CN"/>
        </w:rPr>
      </w:r>
      <w:r/>
    </w:p>
    <w:p>
      <w:pPr>
        <w:pStyle w:val="1041"/>
        <w:rPr>
          <w:rFonts w:hint="eastAsia"/>
          <w:color w:val="000000"/>
          <w:highlight w:val="none"/>
        </w:rPr>
      </w:pPr>
      <w:r>
        <w:rPr>
          <w:rFonts w:hint="eastAsia"/>
          <w:color w:val="000000"/>
          <w:highlight w:val="none"/>
        </w:rPr>
      </w:r>
      <w:r/>
    </w:p>
    <w:p>
      <w:pPr>
        <w:pStyle w:val="1041"/>
        <w:numPr>
          <w:ilvl w:val="0"/>
          <w:numId w:val="18"/>
        </w:numPr>
        <w:contextualSpacing/>
        <w:ind w:left="0" w:right="210"/>
        <w:jc w:val="left"/>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控制价清单及图纸</w:t>
      </w:r>
      <w:r>
        <w:rPr>
          <w:rFonts w:hint="eastAsia" w:ascii="宋体" w:hAnsi="宋体" w:eastAsia="宋体" w:cs="宋体"/>
          <w:b/>
          <w:bCs w:val="0"/>
          <w:color w:val="000000"/>
          <w:sz w:val="24"/>
          <w:highlight w:val="none"/>
          <w:lang w:val="en-US" w:eastAsia="zh-CN"/>
        </w:rPr>
      </w:r>
      <w:r/>
    </w:p>
    <w:p>
      <w:pPr>
        <w:pStyle w:val="1041"/>
        <w:numPr>
          <w:ilvl w:val="0"/>
          <w:numId w:val="0"/>
        </w:numPr>
        <w:contextualSpacing/>
        <w:ind w:left="0" w:right="210"/>
        <w:jc w:val="left"/>
        <w:spacing w:line="360" w:lineRule="auto"/>
        <w:rPr>
          <w:rFonts w:ascii="宋体" w:hAnsi="宋体" w:eastAsia="宋体" w:cs="宋体"/>
          <w:b/>
          <w:bCs w:val="0"/>
          <w:color w:val="000000"/>
          <w:sz w:val="24"/>
          <w:highlight w:val="none"/>
          <w:lang w:val="en-US" w:eastAsia="zh-CN"/>
        </w:rPr>
      </w:pPr>
      <w:r>
        <w:rPr>
          <w:rFonts w:ascii="宋体" w:hAnsi="宋体" w:eastAsia="宋体" w:cs="宋体"/>
          <w:b/>
          <w:bCs w:val="0"/>
          <w:color w:val="000000"/>
          <w:sz w:val="24"/>
          <w:highlight w:val="none"/>
          <w:lang w:val="en-US"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6pt;height:65.4pt;mso-wrap-distance-left:0.0pt;mso-wrap-distance-top:0.0pt;mso-wrap-distance-right:0.0pt;mso-wrap-distance-bottom:0.0pt;" filled="f" stroked="f">
            <v:path textboxrect="0,0,0,0"/>
            <v:imagedata r:id="rId18" o:title=""/>
          </v:shape>
          <o:OLEObject DrawAspect="Content" r:id="rId19" ObjectID="_1525044" ProgID="Package" ShapeID="_x0000_i4" Type="Embed"/>
        </w:object>
      </w: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6pt;height:65.4pt;mso-wrap-distance-left:0.0pt;mso-wrap-distance-top:0.0pt;mso-wrap-distance-right:0.0pt;mso-wrap-distance-bottom:0.0pt;" filled="f" stroked="f">
            <v:path textboxrect="0,0,0,0"/>
            <v:imagedata r:id="rId20" o:title=""/>
          </v:shape>
          <o:OLEObject DrawAspect="Content" r:id="rId21" ObjectID="_1525045" ProgID="Package" ShapeID="_x0000_i5" Type="Embed"/>
        </w:object>
      </w:r>
      <w:r>
        <w:rPr>
          <w:rFonts w:hint="eastAsia" w:eastAsia="宋体"/>
          <w:color w:val="000000"/>
          <w:highlight w:val="none"/>
          <w:lang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r>
      <w:r/>
    </w:p>
    <w:p>
      <w:pPr>
        <w:pStyle w:val="1041"/>
        <w:spacing w:line="0" w:lineRule="atLeast"/>
        <w:rPr>
          <w:rFonts w:hint="eastAsia" w:eastAsia="宋体"/>
          <w:color w:val="000000"/>
          <w:highlight w:val="none"/>
          <w:lang w:val="en-US" w:eastAsia="zh-CN"/>
        </w:rPr>
      </w:pPr>
      <w:r>
        <w:rPr>
          <w:rFonts w:hint="eastAsia" w:eastAsia="宋体"/>
          <w:color w:val="000000"/>
          <w:highlight w:val="none"/>
          <w:lang w:val="en-US" w:eastAsia="zh-CN"/>
        </w:rPr>
        <w:t xml:space="preserve">通过网盘分享的文件：控制价清单及图纸（常州机电职业技术学院善学楼（东教学楼）升级改造项目</w:t>
      </w:r>
      <w:r>
        <w:rPr>
          <w:rFonts w:hint="eastAsia" w:eastAsia="宋体"/>
          <w:color w:val="000000"/>
          <w:highlight w:val="none"/>
          <w:lang w:val="en-US" w:eastAsia="zh-CN"/>
        </w:rPr>
      </w:r>
      <w:r/>
    </w:p>
    <w:p>
      <w:pPr>
        <w:pStyle w:val="1041"/>
        <w:spacing w:line="0" w:lineRule="atLeast"/>
        <w:rPr>
          <w:rFonts w:eastAsia="宋体"/>
          <w:color w:val="00000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color w:val="000000"/>
          <w:highlight w:val="none"/>
          <w:lang w:val="en-US" w:eastAsia="zh-CN"/>
        </w:rPr>
        <w:t xml:space="preserve">链接: https://pan.baidu.com/s/172CDnMlrT54GQgaWlE7DSw?pwd=38ax 提取码: 38ax</w:t>
      </w:r>
      <w:r>
        <w:rPr>
          <w:rFonts w:eastAsia="宋体"/>
          <w:color w:val="000000"/>
          <w:highlight w:val="none"/>
          <w:lang w:val="en-US" w:eastAsia="zh-CN"/>
        </w:rPr>
      </w:r>
      <w:r/>
    </w:p>
    <w:p>
      <w:pPr>
        <w:pStyle w:val="1041"/>
        <w:ind w:firstLine="723"/>
        <w:jc w:val="center"/>
        <w:spacing w:line="360" w:lineRule="auto"/>
        <w:rPr>
          <w:b/>
          <w:color w:val="000000"/>
          <w:sz w:val="36"/>
          <w:szCs w:val="36"/>
          <w:highlight w:val="none"/>
        </w:rPr>
        <w:outlineLvl w:val="0"/>
      </w:pPr>
      <w:r/>
      <w:bookmarkStart w:id="622" w:name="_Toc104818929"/>
      <w:r/>
      <w:bookmarkStart w:id="623" w:name="_Toc11006"/>
      <w:r/>
      <w:bookmarkStart w:id="624" w:name="_Toc25957"/>
      <w:r/>
      <w:bookmarkStart w:id="625" w:name="_Toc104"/>
      <w:r/>
      <w:bookmarkStart w:id="626" w:name="_Toc18542"/>
      <w:r/>
      <w:bookmarkStart w:id="627" w:name="_Toc104818930"/>
      <w:r/>
      <w:bookmarkStart w:id="628" w:name="_Hlk75944811"/>
      <w:r>
        <w:rPr>
          <w:b/>
          <w:color w:val="000000"/>
          <w:sz w:val="36"/>
          <w:szCs w:val="36"/>
          <w:highlight w:val="none"/>
        </w:rPr>
        <w:t xml:space="preserve">第五章   合同草案条款</w:t>
      </w:r>
      <w:bookmarkEnd w:id="622"/>
      <w:r/>
      <w:bookmarkEnd w:id="623"/>
      <w:r/>
      <w:bookmarkEnd w:id="624"/>
      <w:r/>
      <w:bookmarkEnd w:id="625"/>
      <w:r/>
      <w:bookmarkEnd w:id="626"/>
      <w:r>
        <w:rPr>
          <w:b/>
          <w:color w:val="000000"/>
          <w:sz w:val="36"/>
          <w:szCs w:val="36"/>
          <w:highlight w:val="none"/>
        </w:rPr>
      </w:r>
      <w:r/>
    </w:p>
    <w:p>
      <w:pPr>
        <w:pStyle w:val="1041"/>
        <w:jc w:val="center"/>
        <w:spacing w:line="360" w:lineRule="auto"/>
        <w:rPr>
          <w:b/>
          <w:color w:val="000000"/>
          <w:sz w:val="36"/>
          <w:szCs w:val="36"/>
          <w:highlight w:val="none"/>
        </w:rPr>
        <w:outlineLvl w:val="0"/>
      </w:pPr>
      <w:r/>
      <w:bookmarkStart w:id="629" w:name="_Toc3107"/>
      <w:r/>
      <w:bookmarkStart w:id="630" w:name="_Toc27008"/>
      <w:r/>
      <w:bookmarkStart w:id="631" w:name="_Toc30541"/>
      <w:r>
        <w:rPr>
          <w:rFonts w:hint="eastAsia" w:cs="宋体"/>
          <w:b/>
          <w:color w:val="000000"/>
          <w:sz w:val="36"/>
          <w:szCs w:val="36"/>
          <w:highlight w:val="none"/>
          <w:lang w:bidi="ar"/>
        </w:rPr>
        <w:t xml:space="preserve">施 工 合 同</w:t>
      </w:r>
      <w:bookmarkEnd w:id="629"/>
      <w:r/>
      <w:bookmarkEnd w:id="630"/>
      <w:r/>
      <w:bookmarkEnd w:id="631"/>
      <w:r>
        <w:rPr>
          <w:b/>
          <w:color w:val="000000"/>
          <w:sz w:val="36"/>
          <w:szCs w:val="36"/>
          <w:highlight w:val="none"/>
        </w:rPr>
      </w:r>
      <w:r/>
    </w:p>
    <w:p>
      <w:pPr>
        <w:pStyle w:val="1081"/>
        <w:ind w:firstLine="241"/>
        <w:spacing w:line="400" w:lineRule="exact"/>
        <w:widowControl/>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常州机电职业技术学院   </w:t>
      </w:r>
      <w:r>
        <w:rPr>
          <w:rFonts w:hAnsi="宋体" w:cs="宋体"/>
          <w:color w:val="000000"/>
          <w:sz w:val="24"/>
          <w:szCs w:val="24"/>
          <w:highlight w:val="none"/>
        </w:rPr>
        <w:t xml:space="preserve">     </w:t>
      </w:r>
      <w:r>
        <w:rPr>
          <w:rFonts w:hAnsi="宋体" w:cs="宋体"/>
          <w:color w:val="000000"/>
          <w:sz w:val="24"/>
          <w:szCs w:val="24"/>
          <w:highlight w:val="none"/>
        </w:rPr>
      </w:r>
      <w:r/>
    </w:p>
    <w:p>
      <w:pPr>
        <w:pStyle w:val="1081"/>
        <w:ind w:right="-764" w:firstLine="241"/>
        <w:spacing w:line="400" w:lineRule="exact"/>
        <w:widowControl/>
        <w:rPr>
          <w:rFonts w:hAnsi="宋体" w:cs="宋体"/>
          <w:b/>
          <w:color w:val="000000"/>
          <w:sz w:val="24"/>
          <w:szCs w:val="24"/>
          <w:highlight w:val="non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b/>
          <w:color w:val="000000"/>
          <w:sz w:val="24"/>
          <w:szCs w:val="24"/>
          <w:highlight w:val="none"/>
        </w:rPr>
      </w:r>
      <w:r/>
    </w:p>
    <w:p>
      <w:pPr>
        <w:pStyle w:val="1104"/>
        <w:ind w:left="239"/>
        <w:spacing w:before="0" w:beforeAutospacing="0" w:after="0" w:afterAutospacing="0" w:line="400" w:lineRule="exact"/>
        <w:widowControl w:val="off"/>
        <w:rPr>
          <w:color w:val="000000"/>
          <w:highlight w:val="none"/>
          <w:u w:val="single"/>
        </w:rPr>
      </w:pPr>
      <w:r>
        <w:rPr>
          <w:rFonts w:hint="eastAsia"/>
          <w:color w:val="000000"/>
          <w:highlight w:val="none"/>
          <w:lang w:bidi="ar"/>
        </w:rPr>
        <w:t xml:space="preserve">签订地点：常州机电职业技术学院       签订合同时间: </w:t>
      </w:r>
      <w:r>
        <w:rPr>
          <w:rFonts w:hint="eastAsia"/>
          <w:color w:val="000000"/>
          <w:highlight w:val="none"/>
          <w:u w:val="single"/>
          <w:lang w:bidi="ar"/>
        </w:rPr>
        <w:t xml:space="preserve"> 2026年 月 日</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根据</w:t>
      </w:r>
      <w:r>
        <w:rPr>
          <w:rFonts w:hint="eastAsia" w:cs="Times New Roman"/>
          <w:color w:val="000000"/>
          <w:highlight w:val="none"/>
          <w:u w:val="single"/>
          <w:lang w:bidi="ar"/>
        </w:rPr>
        <w:t xml:space="preserve">          （代理机构） 2026  </w:t>
      </w:r>
      <w:r>
        <w:rPr>
          <w:rFonts w:hint="eastAsia" w:cs="Times New Roman"/>
          <w:color w:val="000000"/>
          <w:highlight w:val="none"/>
          <w:lang w:bidi="ar"/>
        </w:rPr>
        <w:t xml:space="preserve">年</w:t>
      </w:r>
      <w:r>
        <w:rPr>
          <w:rFonts w:hint="eastAsia" w:cs="Times New Roman"/>
          <w:color w:val="000000"/>
          <w:highlight w:val="none"/>
          <w:u w:val="single"/>
          <w:lang w:bidi="ar"/>
        </w:rPr>
        <w:t xml:space="preserve">   </w:t>
      </w:r>
      <w:r>
        <w:rPr>
          <w:rFonts w:hint="eastAsia" w:cs="Times New Roman"/>
          <w:color w:val="000000"/>
          <w:highlight w:val="none"/>
          <w:lang w:bidi="ar"/>
        </w:rPr>
        <w:t xml:space="preserve">月</w:t>
      </w:r>
      <w:r>
        <w:rPr>
          <w:rFonts w:hint="eastAsia" w:cs="Times New Roman"/>
          <w:color w:val="000000"/>
          <w:highlight w:val="none"/>
          <w:u w:val="single"/>
          <w:lang w:bidi="ar"/>
        </w:rPr>
        <w:t xml:space="preserve">   </w:t>
      </w:r>
      <w:r>
        <w:rPr>
          <w:rFonts w:hint="eastAsia" w:cs="Times New Roman"/>
          <w:color w:val="000000"/>
          <w:highlight w:val="none"/>
          <w:lang w:bidi="ar"/>
        </w:rPr>
        <w:t xml:space="preserve">日进行的</w:t>
      </w:r>
      <w:r>
        <w:rPr>
          <w:rFonts w:hint="eastAsia" w:cs="Times New Roman"/>
          <w:color w:val="000000"/>
          <w:highlight w:val="none"/>
          <w:u w:val="single"/>
          <w:lang w:bidi="ar"/>
        </w:rPr>
        <w:t xml:space="preserve">     </w:t>
      </w:r>
      <w:r>
        <w:rPr>
          <w:rFonts w:hint="eastAsia" w:cs="Times New Roman"/>
          <w:color w:val="000000"/>
          <w:highlight w:val="none"/>
          <w:lang w:bidi="ar"/>
        </w:rPr>
        <w:t xml:space="preserve">号采购要求，甲、乙双方就</w:t>
      </w:r>
      <w:r>
        <w:rPr>
          <w:rFonts w:hint="eastAsia" w:cs="Times New Roman"/>
          <w:color w:val="000000"/>
          <w:highlight w:val="none"/>
          <w:u w:val="single"/>
          <w:lang w:bidi="ar"/>
        </w:rPr>
        <w:t xml:space="preserve"> 常州机电职业技术学院善学楼（东教学楼）升级改造工程 </w:t>
      </w:r>
      <w:r>
        <w:rPr>
          <w:rFonts w:hint="eastAsia" w:cs="Times New Roman"/>
          <w:color w:val="000000"/>
          <w:highlight w:val="none"/>
          <w:lang w:bidi="ar"/>
        </w:rPr>
        <w:t xml:space="preserve">项目</w:t>
      </w:r>
      <w:r>
        <w:rPr>
          <w:rFonts w:hint="eastAsia" w:cs="Times New Roman"/>
          <w:bCs/>
          <w:color w:val="000000"/>
          <w:highlight w:val="none"/>
          <w:lang w:bidi="ar"/>
        </w:rPr>
        <w:t xml:space="preserve">，</w:t>
      </w:r>
      <w:r>
        <w:rPr>
          <w:rFonts w:hint="eastAsia" w:cs="Times New Roman"/>
          <w:color w:val="000000"/>
          <w:highlight w:val="none"/>
          <w:lang w:bidi="ar"/>
        </w:rPr>
        <w:t xml:space="preserve">本着平等互利的原则，通过共同协商，根据</w:t>
      </w:r>
      <w:r>
        <w:rPr>
          <w:rFonts w:hint="eastAsia" w:cs="Times New Roman"/>
          <w:bCs/>
          <w:color w:val="000000"/>
          <w:highlight w:val="none"/>
          <w:lang w:bidi="ar"/>
        </w:rPr>
        <w:t xml:space="preserve">《中华人民共和国政府采购法》、《中华人民共和国合同法》</w:t>
      </w:r>
      <w:r>
        <w:rPr>
          <w:rFonts w:hint="eastAsia" w:cs="Times New Roman"/>
          <w:color w:val="000000"/>
          <w:highlight w:val="none"/>
          <w:lang w:bidi="ar"/>
        </w:rPr>
        <w:t xml:space="preserve">及有关法律法规，就相关事宜达成如下合同。</w:t>
      </w:r>
      <w:r>
        <w:rPr>
          <w:color w:val="000000"/>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下列文件是构成合同不可分割的部分，并与本合同具有同等法律效力，</w:t>
      </w:r>
      <w:r>
        <w:rPr>
          <w:rFonts w:hint="eastAsia" w:ascii="宋体" w:hAnsi="宋体" w:cs="宋体"/>
          <w:bCs/>
          <w:color w:val="000000"/>
          <w:sz w:val="24"/>
          <w:highlight w:val="none"/>
          <w:lang w:bidi="ar"/>
        </w:rPr>
        <w:t xml:space="preserve">这些文件包括但不限于：</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号采购文件。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2.乙方提交的响应文件。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Ansi="宋体"/>
          <w:color w:val="000000"/>
          <w:sz w:val="24"/>
          <w:highlight w:val="none"/>
          <w:lang w:bidi="ar"/>
        </w:rPr>
        <w:t xml:space="preserve">3.</w:t>
      </w:r>
      <w:r>
        <w:rPr>
          <w:color w:val="000000"/>
          <w:sz w:val="24"/>
          <w:highlight w:val="none"/>
          <w:lang w:bidi="ar"/>
        </w:rPr>
        <w:t xml:space="preserve"> </w:t>
      </w:r>
      <w:r>
        <w:rPr>
          <w:rFonts w:hint="eastAsia" w:hAnsi="宋体" w:cs="宋体"/>
          <w:color w:val="000000"/>
          <w:sz w:val="24"/>
          <w:highlight w:val="none"/>
          <w:lang w:bidi="ar"/>
        </w:rPr>
        <w:t xml:space="preserve">磋商文件及相关的资料。</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4.乙方响应的其他资料及承诺。</w:t>
      </w:r>
      <w:r>
        <w:rPr>
          <w:rFonts w:hint="eastAsia" w:ascii="宋体" w:hAnsi="宋体" w:cs="宋体"/>
          <w:color w:val="000000"/>
          <w:sz w:val="24"/>
          <w:highlight w:val="none"/>
        </w:rPr>
      </w:r>
      <w:r/>
    </w:p>
    <w:p>
      <w:pPr>
        <w:pStyle w:val="1041"/>
        <w:ind w:firstLine="480"/>
        <w:rPr>
          <w:rFonts w:hint="eastAsia" w:ascii="宋体" w:cs="宋体"/>
          <w:color w:val="000000"/>
          <w:sz w:val="24"/>
          <w:highlight w:val="none"/>
        </w:rPr>
      </w:pPr>
      <w:r>
        <w:rPr>
          <w:color w:val="000000"/>
          <w:sz w:val="24"/>
          <w:highlight w:val="none"/>
          <w:lang w:bidi="ar"/>
        </w:rPr>
        <w:t xml:space="preserve">5.</w:t>
      </w:r>
      <w:r>
        <w:rPr>
          <w:rFonts w:hint="eastAsia" w:cs="宋体"/>
          <w:color w:val="000000"/>
          <w:sz w:val="24"/>
          <w:highlight w:val="none"/>
          <w:lang w:bidi="ar"/>
        </w:rPr>
        <w:t xml:space="preserve">经甲、乙、双方确认的其他补充协议及相关资料。</w:t>
      </w:r>
      <w:r>
        <w:rPr>
          <w:rFonts w:hint="eastAsia" w:ascii="宋体" w:cs="宋体"/>
          <w:color w:val="000000"/>
          <w:sz w:val="24"/>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第1条  工程概况</w:t>
      </w:r>
      <w:r>
        <w:rPr>
          <w:color w:val="000000"/>
          <w:highlight w:val="none"/>
        </w:rPr>
      </w:r>
      <w:r/>
    </w:p>
    <w:p>
      <w:pPr>
        <w:pStyle w:val="1041"/>
        <w:ind w:firstLine="480"/>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1.1  工程名称：</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常州机电职业技术学院善学楼（东教学楼）升级改造工程</w:t>
      </w:r>
      <w:r>
        <w:rPr>
          <w:rFonts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1.2  工程地点：</w:t>
      </w:r>
      <w:r>
        <w:rPr>
          <w:rFonts w:hint="eastAsia" w:cs="Times New Roman"/>
          <w:color w:val="000000"/>
          <w:highlight w:val="none"/>
          <w:u w:val="single"/>
          <w:lang w:bidi="ar"/>
        </w:rPr>
        <w:t xml:space="preserve">  常州机电职业技术学院善学楼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  承包范围:</w:t>
      </w:r>
      <w:r>
        <w:rPr>
          <w:rFonts w:hint="eastAsia" w:cs="Times New Roman"/>
          <w:color w:val="000000"/>
          <w:highlight w:val="none"/>
          <w:u w:val="single"/>
          <w:lang w:bidi="ar"/>
        </w:rPr>
        <w:t xml:space="preserve">   工程量清单范围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1.4  承包方式:</w:t>
      </w:r>
      <w:r>
        <w:rPr>
          <w:rFonts w:hint="eastAsia" w:cs="Times New Roman"/>
          <w:color w:val="000000"/>
          <w:highlight w:val="none"/>
          <w:u w:val="single"/>
          <w:lang w:bidi="ar"/>
        </w:rPr>
        <w:t xml:space="preserve">   </w:t>
      </w:r>
      <w:r>
        <w:rPr>
          <w:rFonts w:hint="eastAsia"/>
          <w:b/>
          <w:bCs/>
          <w:color w:val="000000"/>
          <w:highlight w:val="none"/>
        </w:rPr>
        <w:t xml:space="preserve">固定综合单价</w:t>
      </w:r>
      <w:r>
        <w:rPr>
          <w:rFonts w:hint="eastAsia" w:cs="Times New Roman"/>
          <w:color w:val="000000"/>
          <w:highlight w:val="none"/>
          <w:u w:val="single"/>
          <w:lang w:bidi="ar"/>
        </w:rPr>
        <w:t xml:space="preserve">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1.5  合同履行期限：</w:t>
      </w:r>
      <w:r>
        <w:rPr>
          <w:rFonts w:hint="eastAsia" w:cs="Times New Roman"/>
          <w:color w:val="000000"/>
          <w:highlight w:val="none"/>
          <w:lang w:eastAsia="zh-CN" w:bidi="ar"/>
        </w:rPr>
        <w:t xml:space="preserve">50天，以开工时间为准。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1.6采购工程的验收标准：符合国家相关质量标准，一次性验收合格。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1.7 合同价款(人民币大写):</w:t>
      </w:r>
      <w:r>
        <w:rPr>
          <w:rFonts w:hint="eastAsia" w:cs="Times New Roman"/>
          <w:color w:val="000000"/>
          <w:highlight w:val="none"/>
          <w:u w:val="single"/>
          <w:lang w:bidi="ar"/>
        </w:rPr>
        <w:t xml:space="preserve">    （￥   元）</w:t>
      </w:r>
      <w:r>
        <w:rPr>
          <w:rFonts w:hint="eastAsia" w:cs="Times New Roman"/>
          <w:color w:val="000000"/>
          <w:highlight w:val="none"/>
          <w:u w:val="singl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1.8 本合同为固定单价合同，合同价款中的综合单价均已包含为完成本工程所需的所有人工、材料、设备、机械、管理、利润、税金、风险、责任及合同明示或暗示的一切费用。除本合同第6.6条及第6.7条约定的情况外，任何情况下综合单价均不予调整。乙方已充分考虑并承担了现场条件、施工难度、市场物价波动（除第6.7条主要材料外）、工期等一切风险。</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1.9 最终结算上限：本工程的最终结算总价，不得超过合同总价（即人民币</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元）的10%。超出部分，甲方有权不予支付，且乙方不得以此为由拒绝竣工验收或移交工程。</w:t>
      </w:r>
      <w:r>
        <w:rPr>
          <w:rFonts w:hint="eastAsia" w:cs="Times New Roman"/>
          <w:color w:val="000000"/>
          <w:highlight w:val="none"/>
          <w:u w:val="singl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第2条  甲方工作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2.1  开工前</w:t>
      </w:r>
      <w:r>
        <w:rPr>
          <w:rFonts w:hint="eastAsia" w:cs="Times New Roman"/>
          <w:color w:val="000000"/>
          <w:highlight w:val="none"/>
          <w:u w:val="single"/>
          <w:lang w:bidi="ar"/>
        </w:rPr>
        <w:t xml:space="preserve"> 7 </w:t>
      </w:r>
      <w:r>
        <w:rPr>
          <w:rFonts w:hint="eastAsia" w:cs="Times New Roman"/>
          <w:color w:val="000000"/>
          <w:highlight w:val="none"/>
          <w:lang w:bidi="ar"/>
        </w:rPr>
        <w:t xml:space="preserve">天,向乙方提供经确认的施工图纸或作法说明</w:t>
      </w:r>
      <w:r>
        <w:rPr>
          <w:rFonts w:hint="eastAsia" w:cs="Times New Roman"/>
          <w:color w:val="000000"/>
          <w:highlight w:val="none"/>
          <w:u w:val="single"/>
          <w:lang w:bidi="ar"/>
        </w:rPr>
        <w:t xml:space="preserve"> 2 </w:t>
      </w:r>
      <w:r>
        <w:rPr>
          <w:rFonts w:hint="eastAsia" w:cs="Times New Roman"/>
          <w:color w:val="000000"/>
          <w:highlight w:val="none"/>
          <w:lang w:bidi="ar"/>
        </w:rPr>
        <w:t xml:space="preserve">份,并向乙方进行现场交底。向乙方提供施工所需的水、电、气及电讯等设备，并说明使用注意事项。办理施工所涉及的各种申请、批件等手续。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2.2  指派</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为甲方驻工地代表，负责合同履行。对工程质量、进度进行监督检查，办理验收、变更、登记手续和其他事宜。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2.3  委托</w:t>
      </w:r>
      <w:r>
        <w:rPr>
          <w:rFonts w:hint="eastAsia" w:cs="Times New Roman"/>
          <w:color w:val="000000"/>
          <w:highlight w:val="none"/>
          <w:u w:val="single"/>
          <w:lang w:bidi="ar"/>
        </w:rPr>
        <w:t xml:space="preserve">     </w:t>
      </w:r>
      <w:r>
        <w:rPr>
          <w:rFonts w:hint="eastAsia" w:cs="Times New Roman"/>
          <w:color w:val="000000"/>
          <w:highlight w:val="none"/>
          <w:lang w:bidi="ar"/>
        </w:rPr>
        <w:t xml:space="preserve">监理公司进行工程监理，监理公司任命</w:t>
      </w:r>
      <w:r>
        <w:rPr>
          <w:rFonts w:hint="eastAsia" w:cs="Times New Roman"/>
          <w:color w:val="000000"/>
          <w:highlight w:val="none"/>
          <w:u w:val="single"/>
          <w:lang w:bidi="ar"/>
        </w:rPr>
        <w:t xml:space="preserve">    </w:t>
      </w:r>
      <w:r>
        <w:rPr>
          <w:rFonts w:hint="eastAsia" w:cs="Times New Roman"/>
          <w:color w:val="000000"/>
          <w:highlight w:val="none"/>
          <w:lang w:bidi="ar"/>
        </w:rPr>
        <w:t xml:space="preserve"> 为总监理工程师，其职责在监理合同中应明确，并将合同副本交乙方</w:t>
      </w:r>
      <w:r>
        <w:rPr>
          <w:rFonts w:hint="eastAsia" w:cs="Times New Roman"/>
          <w:color w:val="000000"/>
          <w:highlight w:val="none"/>
          <w:u w:val="single"/>
          <w:lang w:bidi="ar"/>
        </w:rPr>
        <w:t xml:space="preserve">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2.4 如确实需要拆改原建筑物结构或设备管线，负责到有关部门办理相应审批手续。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2.5  协调有关部门做好现场保卫、消防、垃圾处理等工作，并承担相应费用。</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第3条  乙方工作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3.1  参加甲方组织的施工图纸或作法说明的现场交底，拟定施工方案和进度计划，交甲方审定。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w:t>
      </w:r>
      <w:r>
        <w:rPr>
          <w:rFonts w:hint="eastAsia" w:cs="Times New Roman"/>
          <w:color w:val="000000"/>
          <w:highlight w:val="none"/>
          <w:lang w:val="en-US" w:eastAsia="zh-CN" w:bidi="ar"/>
        </w:rPr>
        <w:t xml:space="preserve">项目负责人</w:t>
      </w:r>
      <w:r>
        <w:rPr>
          <w:rFonts w:hint="eastAsia" w:cs="Times New Roman"/>
          <w:color w:val="000000"/>
          <w:highlight w:val="none"/>
          <w:lang w:bidi="ar"/>
        </w:rPr>
        <w:t xml:space="preserve">，</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为现场项目经理，并根据投标文件响应人员表（附表1）设置专职管理人员。</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乙方应在施工前完成</w:t>
      </w:r>
      <w:r>
        <w:rPr>
          <w:rFonts w:cs="Times New Roman"/>
          <w:color w:val="000000"/>
          <w:highlight w:val="none"/>
          <w:lang w:bidi="ar"/>
        </w:rPr>
        <w:t xml:space="preserve">施工样板制作，经</w:t>
      </w:r>
      <w:r>
        <w:rPr>
          <w:rFonts w:hint="eastAsia" w:cs="Times New Roman"/>
          <w:color w:val="000000"/>
          <w:highlight w:val="none"/>
          <w:lang w:bidi="ar"/>
        </w:rPr>
        <w:t xml:space="preserve">甲方</w:t>
      </w:r>
      <w:r>
        <w:rPr>
          <w:rFonts w:cs="Times New Roman"/>
          <w:color w:val="000000"/>
          <w:highlight w:val="none"/>
          <w:lang w:bidi="ar"/>
        </w:rPr>
        <w:t xml:space="preserve">、监理确认后方可展开大面积施工</w:t>
      </w:r>
      <w:r>
        <w:rPr>
          <w:rFonts w:hint="eastAsia" w:cs="Times New Roman"/>
          <w:color w:val="000000"/>
          <w:highlight w:val="none"/>
          <w:lang w:bidi="ar"/>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4</w:t>
      </w:r>
      <w:r>
        <w:rPr>
          <w:rFonts w:hint="eastAsia" w:cs="Times New Roman"/>
          <w:color w:val="000000"/>
          <w:highlight w:val="none"/>
          <w:lang w:bidi="ar"/>
        </w:rPr>
        <w:t xml:space="preserve">  严格按照响应文件所列施工工艺方案组织施工。</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5</w:t>
      </w:r>
      <w:r>
        <w:rPr>
          <w:rFonts w:hint="eastAsia" w:cs="Times New Roman"/>
          <w:color w:val="000000"/>
          <w:highlight w:val="none"/>
          <w:lang w:bidi="ar"/>
        </w:rPr>
        <w:t xml:space="preserve">  乙方</w:t>
      </w:r>
      <w:r>
        <w:rPr>
          <w:rFonts w:cs="Times New Roman"/>
          <w:color w:val="000000"/>
          <w:highlight w:val="none"/>
          <w:lang w:bidi="ar"/>
        </w:rPr>
        <w:t xml:space="preserve">应制定专项安全施工方案，包括：高处作业、吊装作业、焊接作业安全措施；施工现场防火、防触电、防坠落措施；临时用电、用水安全管理；危险源识别与控制措施。</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6</w:t>
      </w:r>
      <w:r>
        <w:rPr>
          <w:rFonts w:hint="eastAsia" w:cs="Times New Roman"/>
          <w:color w:val="000000"/>
          <w:highlight w:val="none"/>
          <w:lang w:bidi="ar"/>
        </w:rPr>
        <w:t xml:space="preserve">  乙方</w:t>
      </w:r>
      <w:r>
        <w:rPr>
          <w:rFonts w:cs="Times New Roman"/>
          <w:color w:val="000000"/>
          <w:highlight w:val="none"/>
          <w:lang w:bidi="ar"/>
        </w:rPr>
        <w:t xml:space="preserve">应制定并实施施工扬尘、噪音控制措施，确保施工场界噪声昼间≤65dB、夜间≤55dB。施工垃圾应分类堆放、及时清运，车辆运输应采取覆盖措施，防止抛洒滴漏。严禁在施工现场焚烧废弃物。</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7</w:t>
      </w:r>
      <w:r>
        <w:rPr>
          <w:rFonts w:hint="eastAsia" w:cs="Times New Roman"/>
          <w:color w:val="000000"/>
          <w:highlight w:val="none"/>
          <w:lang w:bidi="ar"/>
        </w:rPr>
        <w:t xml:space="preserve">　严格执行施工规范、安全操作规程、防火安全规定。严格按照图纸或作法说明进行施工，做好各项质量检查记录。参加竣工验收，编制工程结算。</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8</w:t>
      </w:r>
      <w:r>
        <w:rPr>
          <w:rFonts w:hint="eastAsia" w:cs="Times New Roman"/>
          <w:color w:val="000000"/>
          <w:highlight w:val="none"/>
          <w:lang w:bidi="ar"/>
        </w:rPr>
        <w:t xml:space="preserve">  服从甲方、监理方合理合法管理，按甲方监理方要求，配合监理方做好施工进度、施工质量监管及材料进场验收（不限于以上内容）等一切与施工有关的监管工作。</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9</w:t>
      </w:r>
      <w:r>
        <w:rPr>
          <w:rFonts w:hint="eastAsia" w:cs="Times New Roman"/>
          <w:color w:val="000000"/>
          <w:highlight w:val="none"/>
          <w:lang w:bidi="ar"/>
        </w:rPr>
        <w:t xml:space="preserve">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0</w:t>
      </w:r>
      <w:r>
        <w:rPr>
          <w:rFonts w:hint="eastAsia" w:cs="Times New Roman"/>
          <w:color w:val="000000"/>
          <w:highlight w:val="none"/>
          <w:lang w:bidi="ar"/>
        </w:rPr>
        <w:t xml:space="preserve"> 施工中未经甲方同意或有关部门批准，不得随便拆改原建筑物结构及各种设备管线。</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1</w:t>
      </w:r>
      <w:r>
        <w:rPr>
          <w:rFonts w:hint="eastAsia" w:cs="Times New Roman"/>
          <w:color w:val="000000"/>
          <w:highlight w:val="none"/>
          <w:lang w:bidi="ar"/>
        </w:rPr>
        <w:t xml:space="preserve"> 工程竣工未移交甲方之前，负责对现场的一切设施和工程成品进行保护。</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乙方负责施工期间及竣工前的成品保护工作，防止污染、损坏。</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w:t>
      </w:r>
      <w:r>
        <w:rPr>
          <w:rFonts w:cs="Times New Roman"/>
          <w:color w:val="000000"/>
          <w:highlight w:val="none"/>
          <w:lang w:bidi="ar"/>
        </w:rPr>
        <w:t xml:space="preserve">工程竣工前，</w:t>
      </w:r>
      <w:r>
        <w:rPr>
          <w:rFonts w:hint="eastAsia" w:cs="Times New Roman"/>
          <w:color w:val="000000"/>
          <w:highlight w:val="none"/>
          <w:lang w:bidi="ar"/>
        </w:rPr>
        <w:t xml:space="preserve">乙方</w:t>
      </w:r>
      <w:r>
        <w:rPr>
          <w:rFonts w:cs="Times New Roman"/>
          <w:color w:val="000000"/>
          <w:highlight w:val="none"/>
          <w:lang w:bidi="ar"/>
        </w:rPr>
        <w:t xml:space="preserve">应负责全面清洁工作，确保现场整洁、无施工垃圾。</w:t>
      </w:r>
      <w:r>
        <w:rPr>
          <w:rFonts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第4条  关于工期的约定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4.1  </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应根据施工进度计划，合理划分施工区域，组织平行流水施工，确保工期目标实现</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4.2  甲方要求比合同约定的工期提前竣工时，应征得乙方同意，并支付乙方因赶工采取的措施费用。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4.3  因甲方原因导致工期延误：重大设计变更影响施工进度，或者恶劣天气比如地震、冰雹、洪水、台风等不可抗力，或者有政府发文的大气管控文件，此类情况必须在发现后七天内办理签证，逾期不予认可。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4.4  因乙方责任，不能按期开工或中途无故停工，影响工期，工期不得顺延。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4.5  因设计变更或非乙方原因造成的停电、停水、停气及不可抗力因素，导致停工8小时以上（一周内累计计算），工期相应顺延。</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第5条  关于工程质量及验收的约定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5.1  本工程以施工图纸、作法说明、设计变更和《建筑工程施工质量验收统一标准》（GB50300——2013）等国家制订的施工及验收规范为质量评定验收标准。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5.2  本工程质量应达到国家质量评定</w:t>
      </w:r>
      <w:r>
        <w:rPr>
          <w:rFonts w:hint="eastAsia" w:cs="Times New Roman"/>
          <w:color w:val="000000"/>
          <w:highlight w:val="none"/>
          <w:u w:val="single"/>
          <w:lang w:bidi="ar"/>
        </w:rPr>
        <w:t xml:space="preserve">  </w:t>
      </w:r>
      <w:r>
        <w:rPr>
          <w:rFonts w:hint="eastAsia"/>
          <w:color w:val="000000"/>
          <w:highlight w:val="none"/>
        </w:rPr>
        <w:t xml:space="preserve">符合国家相关质量标准，一次性验收合格</w:t>
      </w:r>
      <w:r>
        <w:rPr>
          <w:rFonts w:hint="eastAsia" w:cs="Times New Roman"/>
          <w:color w:val="000000"/>
          <w:highlight w:val="none"/>
          <w:u w:val="single"/>
          <w:lang w:bidi="ar"/>
        </w:rPr>
        <w:t xml:space="preserve">   </w:t>
      </w:r>
      <w:r>
        <w:rPr>
          <w:rFonts w:hint="eastAsia" w:cs="Times New Roman"/>
          <w:color w:val="000000"/>
          <w:highlight w:val="none"/>
          <w:lang w:bidi="ar"/>
        </w:rPr>
        <w:t xml:space="preserve">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5.4  乙方负责采购的材料，应严格按谈判文件要求采购,并提供产品合格证明,对材料质量负责。乙方采购的材料在使用前,应按照甲方或监理的要求进行检验或试验,不合格的不得使用。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5.5  由于甲方提供的材料、设备质量不合格而影响工程质量，其返工费用由甲方承担，工期顺延。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5.6  由于乙方原因造成质量事故，其损失及费用由乙方承担，工期不顺延。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5.7  工程竣工后，乙方应通知甲方验收，甲方自接到验收通知</w:t>
      </w:r>
      <w:r>
        <w:rPr>
          <w:rFonts w:hint="eastAsia" w:cs="Times New Roman"/>
          <w:color w:val="000000"/>
          <w:highlight w:val="none"/>
          <w:u w:val="single"/>
          <w:lang w:bidi="ar"/>
        </w:rPr>
        <w:t xml:space="preserve">  7  </w:t>
      </w:r>
      <w:r>
        <w:rPr>
          <w:rFonts w:hint="eastAsia" w:cs="Times New Roman"/>
          <w:color w:val="000000"/>
          <w:highlight w:val="none"/>
          <w:lang w:bidi="ar"/>
        </w:rPr>
        <w:t xml:space="preserve">日内组织验收，并办理验收、移交手续。如甲方在规定时间内未能组织验收，需及时通知乙方，另定验收日期。但甲方应承认竣工日期，并承担乙方的看管费用和相关费用。</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第6条  关于工程价款及结算的约定</w:t>
      </w:r>
      <w:r>
        <w:rPr>
          <w:rFonts w:hint="eastAsia" w:cs="Times New Roman"/>
          <w:color w:val="000000"/>
          <w:highlight w:val="none"/>
          <w:lang w:bidi="ar"/>
        </w:rPr>
        <w:tab/>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6.1  双方商定本合同价款采用第</w:t>
      </w:r>
      <w:r>
        <w:rPr>
          <w:rFonts w:hint="eastAsia" w:cs="Times New Roman"/>
          <w:color w:val="000000"/>
          <w:highlight w:val="none"/>
          <w:u w:val="single"/>
          <w:lang w:bidi="ar"/>
        </w:rPr>
        <w:t xml:space="preserve"> （1）  </w:t>
      </w:r>
      <w:r>
        <w:rPr>
          <w:rFonts w:hint="eastAsia" w:cs="Times New Roman"/>
          <w:color w:val="000000"/>
          <w:highlight w:val="none"/>
          <w:lang w:bidi="ar"/>
        </w:rPr>
        <w:t xml:space="preserve">种：</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(1)固定综合单价</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(2)固定价格加</w:t>
      </w:r>
      <w:r>
        <w:rPr>
          <w:rFonts w:hint="eastAsia" w:cs="Times New Roman"/>
          <w:color w:val="000000"/>
          <w:highlight w:val="none"/>
          <w:u w:val="single"/>
          <w:lang w:bidi="ar"/>
        </w:rPr>
        <w:t xml:space="preserve">   </w:t>
      </w:r>
      <w:r>
        <w:rPr>
          <w:rFonts w:hint="eastAsia" w:cs="Times New Roman"/>
          <w:color w:val="000000"/>
          <w:highlight w:val="none"/>
          <w:lang w:bidi="ar"/>
        </w:rPr>
        <w:t xml:space="preserve">%包干风险系数计算。包干风险包括</w:t>
      </w:r>
      <w:r>
        <w:rPr>
          <w:rFonts w:hint="eastAsia" w:cs="Times New Roman"/>
          <w:color w:val="000000"/>
          <w:highlight w:val="none"/>
          <w:u w:val="single"/>
          <w:lang w:bidi="ar"/>
        </w:rPr>
        <w:t xml:space="preserve">                 </w:t>
      </w:r>
      <w:r>
        <w:rPr>
          <w:rFonts w:hint="eastAsia" w:cs="Times New Roman"/>
          <w:color w:val="000000"/>
          <w:highlight w:val="none"/>
          <w:lang w:bidi="ar"/>
        </w:rPr>
        <w:t xml:space="preserve">内容。</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(3)可调价格。按照国家有关工程计价规定计算造价，并按有关规定进行调整和竣工结算。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6.2  本合同生效后，按以下约定支付工程款：</w:t>
      </w:r>
      <w:r>
        <w:rPr>
          <w:color w:val="000000"/>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6.3  乙方应在签订合同前交纳履约保证金（合同价的3%，即</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元，大写：</w:t>
      </w:r>
      <w:r>
        <w:rPr>
          <w:rFonts w:hint="eastAsia" w:cs="Times New Roman"/>
          <w:color w:val="000000"/>
          <w:highlight w:val="none"/>
          <w:u w:val="single"/>
          <w:lang w:bidi="ar"/>
        </w:rPr>
        <w:t xml:space="preserve">   </w:t>
      </w:r>
      <w:r>
        <w:rPr>
          <w:rFonts w:hint="eastAsia" w:cs="Times New Roman"/>
          <w:color w:val="000000"/>
          <w:highlight w:val="none"/>
          <w:lang w:bidi="ar"/>
        </w:rPr>
        <w:t xml:space="preserve">）至甲方，履约保证金将在竣工验收合格后转化为质保金，质保金在质保期满后14日内退返乙方（不计息）。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6.4  工程竣工验收后，乙方必须在60天内提出工程结算并将有关资料（纸质版和电子版，</w:t>
      </w:r>
      <w:r>
        <w:rPr>
          <w:rFonts w:hint="eastAsia" w:cs="Times New Roman"/>
          <w:color w:val="000000"/>
          <w:highlight w:val="none"/>
          <w:lang w:bidi="ar"/>
        </w:rPr>
        <w:t xml:space="preserve">包括但不限于竣工图、变更签证、材料价格确认单等</w:t>
      </w:r>
      <w:r>
        <w:rPr>
          <w:rFonts w:hint="eastAsia" w:cs="Times New Roman"/>
          <w:color w:val="000000"/>
          <w:highlight w:val="none"/>
          <w:lang w:bidi="ar"/>
        </w:rPr>
        <w:t xml:space="preserve">）送交甲方。超出时限未提交结算资料的，</w:t>
      </w:r>
      <w:r>
        <w:rPr>
          <w:rFonts w:hint="eastAsia" w:cs="Times New Roman"/>
          <w:color w:val="000000"/>
          <w:highlight w:val="none"/>
          <w:lang w:bidi="ar"/>
        </w:rPr>
        <w:t xml:space="preserve">每逾期一日，应向甲方支付合同暂定总价</w:t>
      </w:r>
      <w:r>
        <w:rPr>
          <w:rFonts w:hint="eastAsia" w:cs="Times New Roman"/>
          <w:color w:val="000000"/>
          <w:highlight w:val="none"/>
          <w:u w:val="single"/>
          <w:lang w:bidi="ar"/>
        </w:rPr>
        <w:t xml:space="preserve">1‰</w:t>
      </w:r>
      <w:r>
        <w:rPr>
          <w:rFonts w:hint="eastAsia" w:cs="Times New Roman"/>
          <w:color w:val="000000"/>
          <w:highlight w:val="none"/>
          <w:lang w:bidi="ar"/>
        </w:rPr>
        <w:t xml:space="preserve">的违约金。</w:t>
      </w:r>
      <w:r>
        <w:rPr>
          <w:rFonts w:hint="eastAsia" w:cs="Times New Roman"/>
          <w:color w:val="000000"/>
          <w:highlight w:val="none"/>
          <w:lang w:bidi="ar"/>
        </w:rPr>
        <w:t xml:space="preserve">甲方有权向乙方发出书面催告函，要求在7日内提交，催告期满仍未提交的，甲方有权依据已有资料进行单方审计结算，</w:t>
      </w:r>
      <w:r>
        <w:rPr>
          <w:rFonts w:hint="eastAsia" w:cs="Times New Roman"/>
          <w:color w:val="000000"/>
          <w:highlight w:val="none"/>
          <w:lang w:bidi="ar"/>
        </w:rPr>
        <w:t xml:space="preserve">该审计结果对乙方具有约束力</w:t>
      </w:r>
      <w:r>
        <w:rPr>
          <w:rFonts w:hint="eastAsia" w:cs="Times New Roman"/>
          <w:color w:val="000000"/>
          <w:highlight w:val="none"/>
          <w:lang w:bidi="ar"/>
        </w:rPr>
        <w:t xml:space="preserve">。甲方在收到乙方送审结算资料两个月内完成结算审核，之后启动工程结算审计流程；并于30日内由审计单位接手开始结算审计工作，审计单位开具的《审定单》经乙方确认后作为最终决算的依据。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6.5  本工程数量按实结算，最终以审计数量为准。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6.6  工程变更由发包人、监理现场签证，经有权审计部门审定的数量结算，结算方法如下：</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（1）响应文件中已有适用于变更工程的综合单价，按响应文件已有的综合单价结算；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（2）响应文件中有类似于变更工程的综合单价，按响应文件中已有的类似的综合单价作相应调整后结算；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响应文件中无类似综合单价，结算原则为：由承包人依据《建设工程工程量清单计价规范》（GB50500-2013）、《江苏省建筑与装饰工程计价定额》（2014年）《江苏省房屋修缮工程计价表》（2010年）、《江苏省安装工程计价定额》（2014年）、《江苏省建设工程费用定额》（2014年）营改增后调整内容、常建（2016）94号文关于转发《省住房城乡建设厅关于建筑业实施营改增后江苏省</w:t>
      </w:r>
      <w:r>
        <w:rPr>
          <w:rFonts w:hint="eastAsia" w:cs="Times New Roman"/>
          <w:color w:val="000000"/>
          <w:highlight w:val="none"/>
          <w:lang w:bidi="ar"/>
        </w:rPr>
        <w:t xml:space="preserve">建设工程计价依据调整的通知》的通知、苏建函价〔2018〕298号《省住房城乡建设厅关于建筑业增值税计价政策调整的通知》、常建[2019]1号关于贯彻《省住房城乡建设厅关于调整建设工程按质论价等费用计取方法的公告》的通知、苏建函价〔2019〕178号《省住房城乡建设厅关于调整建设工程计价增值税税率的通知》、《省住房城乡建设厅关于建筑工人实名制费用计取方法的公告》〔2019〕第19号、施工方响应文件所报的人工、材料、机械价格、取费费率并参考投标条件编制综合单价及分析，经监理、招标人及审计部门审定后作为结算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6.7  材料价格波动风险分担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（1）适用范围：本条款适用于本项目主要材料，具体清单详见附件《适用价格波动风险分担的主要材料表》。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（2）价格基准：以合同签订之日前28天常州市工程造价管理部门发布的同期信息指导价为基准价格。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（3）价格波动计算期：价格波动的计算期间为工程实际施工期间，具体以材料进场日期为准。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（4）波动幅度阈值：当施工期间前述材料的信息价与基准价相比，涨跌幅度超过±10%时，启动价格调整，超出±10%部分的价差，由双方按以下比例承担：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建设单位（甲方）承担40%；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施工单位（乙方）承担60%。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（5）乙方应在材料进场后7日内，向甲方提交书面申请单，并附证明材料。甲方在收到申请后14日内完成审核，双方就调整金额达成一致。经审核确认的价差调整，在竣工结算时一并处理。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（6）因乙方原因导致工期延误期间的物价上涨风险，由乙方自行承担。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6.8  项目竣工结算审计后，按下列规定支付审计费用：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6.9  工程变更与现场签证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甲方拥有对本工程设计、施工方案、材料设备等的变更权。任何变更，均须由甲方或监理方出具正式的《设计变更通知单》或《工程联系单》，乙方不得擅自进行变更施工。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程序：（1）乙方认为需要变更时，必须提前5日向甲方和监理方提交书面《工程变更申请报告》，详细说明变更原因、内容、预估工程量及对工期、造价的影响。未经甲方书面批准，乙方不得实施任何变更工作，否则该部分工程量不予计量，费用由乙方自行承担，且工期不予顺延。（2）对于甲方提出的变更，乙方应在收到变更指令后3日内提交变更费用及工期影响报价。甲方应在14日内审核确认。在双方就变更价款达成书面协议前，乙方有权暂不执行该变更（影响安全的紧急情况除外）。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变更计价原则：（1）严格遵循第6.6条顺序。特别是第（3）款“无类似综合单价”的情况，乙方报价的人工、材料、机械单价不得高于其响应文件《分项报价表》中载明的价格，取费费率不得高于其投标费率。 （2）对于变更减少的项目，应按乙方投标报价中的综合单价扣减。 （3）所有变更费用，应先使用合同暂列金额（50,000元）支付。暂列金额用尽后，新增变更需报甲方另行审批。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签证管理：所有涉及费用和工期调整的现场签证（如第4.3条不可抗力等），必须由乙方、监理、甲方现场代表三方当场共同签字确认，并附影像资料。事后补签的签证单无效。</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第7条  关于材料供应的约定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cs="Times New Roman"/>
          <w:color w:val="000000"/>
          <w:highlight w:val="none"/>
          <w:u w:val="single"/>
          <w:lang w:bidi="ar"/>
        </w:rPr>
        <w:t xml:space="preserve">  2  </w:t>
      </w:r>
      <w:r>
        <w:rPr>
          <w:rFonts w:hint="eastAsia" w:cs="Times New Roman"/>
          <w:color w:val="000000"/>
          <w:highlight w:val="none"/>
          <w:lang w:bidi="ar"/>
        </w:rPr>
        <w:t xml:space="preserve">%的保管费。由于乙方保管不当造成损失，由乙方负责赔偿。</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7.2  凡由乙方采购的材料、设备，如不符合质量要求或规格差异，应禁止使用。若已使用，对工程造成的损失由乙方负责。</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第8条  有关安全生产和防火的约定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8.1  甲方提供的施工图纸或作法说明，应符合《中华人民共和国消防条例》和有关防火设计规范。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8.2  乙方在施工期间应严格遵守《建筑安装工程安全技术规程》、《建筑安装工人安全操作规程》、《中华人民共和国消防条例》和其他相关的法规、规范。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8.3  由于甲方确认的图纸或作法说明，违反有关安全操作规程、消防条例和防火设计规范，导致发生安全或火灾事故，甲方应承担由此产生的一切经济损失。</w:t>
      </w:r>
      <w:r>
        <w:rPr>
          <w:color w:val="000000"/>
          <w:highlight w:val="none"/>
        </w:rPr>
      </w:r>
      <w:r/>
    </w:p>
    <w:p>
      <w:pPr>
        <w:pStyle w:val="1104"/>
        <w:ind w:left="239" w:firstLine="307"/>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8.4  由于乙方在施工生产过程中违反有关安全操作规程、消防条例，导致发生安全或火灾事故，乙方应承担由此引发的一切经济损失。</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第9条  奖励和违约责任</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w:t>
      </w:r>
      <w:r>
        <w:rPr>
          <w:rFonts w:hint="eastAsia" w:cs="Times New Roman"/>
          <w:color w:val="000000"/>
          <w:highlight w:val="none"/>
          <w:u w:val="single"/>
          <w:lang w:bidi="ar"/>
        </w:rPr>
        <w:t xml:space="preserve">　1　</w:t>
      </w:r>
      <w:r>
        <w:rPr>
          <w:rFonts w:hint="eastAsia" w:cs="Times New Roman"/>
          <w:color w:val="000000"/>
          <w:highlight w:val="none"/>
          <w:lang w:bidi="ar"/>
        </w:rPr>
        <w:t xml:space="preserve">倍的罚金。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9.2  由于甲方原因导致延期开工或中途停工，工期顺延。甲方不按合同的约定拨付款，每拖期一天，按付款额的</w:t>
      </w:r>
      <w:r>
        <w:rPr>
          <w:rFonts w:hint="eastAsia" w:cs="Times New Roman"/>
          <w:color w:val="000000"/>
          <w:highlight w:val="none"/>
          <w:u w:val="single"/>
          <w:lang w:bidi="ar"/>
        </w:rPr>
        <w:t xml:space="preserve">  1 </w:t>
      </w:r>
      <w:r>
        <w:rPr>
          <w:rFonts w:hint="eastAsia" w:cs="Times New Roman"/>
          <w:color w:val="000000"/>
          <w:highlight w:val="none"/>
          <w:lang w:bidi="ar"/>
        </w:rPr>
        <w:t xml:space="preserve">%支付滞纳金。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9.3  由于乙方原因，逾期竣工，每逾期一天，乙方支付甲方</w:t>
      </w:r>
      <w:r>
        <w:rPr>
          <w:rFonts w:hint="eastAsia" w:cs="Times New Roman"/>
          <w:color w:val="000000"/>
          <w:highlight w:val="none"/>
          <w:u w:val="single"/>
          <w:lang w:bidi="ar"/>
        </w:rPr>
        <w:t xml:space="preserve">合同价0.2‰</w:t>
      </w:r>
      <w:r>
        <w:rPr>
          <w:rFonts w:hint="eastAsia" w:cs="Times New Roman"/>
          <w:color w:val="000000"/>
          <w:highlight w:val="none"/>
          <w:lang w:bidi="ar"/>
        </w:rPr>
        <w:t xml:space="preserve">的滞纳金。</w:t>
      </w:r>
      <w:r>
        <w:rPr>
          <w:rFonts w:hint="eastAsia" w:cs="Times New Roman"/>
          <w:color w:val="000000"/>
          <w:highlight w:val="none"/>
          <w:lang w:bidi="ar"/>
        </w:rPr>
        <w:t xml:space="preserve">逾期超过30日的，甲方有权单方解除合同。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9.4  乙方按照甲方要求，全部或部分工程项目达到优良标准时，甲方支付乙方</w:t>
      </w:r>
      <w:r>
        <w:rPr>
          <w:rFonts w:hint="eastAsia" w:cs="Times New Roman"/>
          <w:color w:val="000000"/>
          <w:highlight w:val="none"/>
          <w:u w:val="single"/>
          <w:lang w:bidi="ar"/>
        </w:rPr>
        <w:t xml:space="preserve"> /  </w:t>
      </w:r>
      <w:r>
        <w:rPr>
          <w:rFonts w:hint="eastAsia" w:cs="Times New Roman"/>
          <w:color w:val="000000"/>
          <w:highlight w:val="none"/>
          <w:lang w:bidi="ar"/>
        </w:rPr>
        <w:t xml:space="preserve">元，作为奖励。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9.5  甲方未办理任何手续，擅自同意拆改原有建筑物结构或设备管线，由此发生的损失或事故（包括罚款），由甲方负责并承担损失。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9.6  未经甲方同意，乙方擅自拆改原建筑物结构或设备管线，由此发生的损失或事故（包括罚款），由乙方负责并承担损失。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9.7  未办理验收手续，甲方提前使用或擅自动用，视同验收通过造成损失由甲方负责。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9.8  因一方原因，合同无法继续履行时，应通知对方，办理合同终止协议，并由责任方赔偿对方由此造成的经济损失。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9.9  除不可抗力或者甲方原因，乙方如未能在竣工截止日期前完成合同内容，甲方有权对延期交付使用造成的经济损失向乙方索赔。</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9.10 若在施工或结算过程中，甲方或审计单位发现乙方存在为获取变更而故意诱导设计缺陷、隐瞒不报、虚报瞒报工程量或价格、提交虚假签证资料等不诚信行为，甲方有权要求乙方按该部分虚报金额的2倍支付违约金，并有权单方解除合同。</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第10条  争议的解决方式</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因履行本合同发生争议协商解决不成的提交</w:t>
      </w:r>
      <w:r>
        <w:rPr>
          <w:rFonts w:hint="eastAsia" w:cs="Times New Roman"/>
          <w:b/>
          <w:bCs/>
          <w:color w:val="000000"/>
          <w:highlight w:val="none"/>
          <w:lang w:bidi="ar"/>
        </w:rPr>
        <w:t xml:space="preserve">常州仲裁委员会仲裁</w:t>
      </w:r>
      <w:r>
        <w:rPr>
          <w:rFonts w:hint="eastAsia" w:cs="Times New Roman"/>
          <w:color w:val="000000"/>
          <w:highlight w:val="none"/>
          <w:lang w:bidi="ar"/>
        </w:rPr>
        <w:t xml:space="preserve">。</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第11条  其它约定: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11.1  工程结算审计工作由甲方负责实施；如发生重大变更事项及超采购预算时，必须经甲方批准后方可实施。工程结算审定价超预算部分如无正常合法手续的，概不支付、结算。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11.2  工程施工管理、竣工验收工作由甲方负责组织实施。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11.3  乙方必须注意确保安全生产、文明施工；如发生违法乱纪及人身伤亡等事故，一切责任均由乙方负责。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11.4  补充图纸和指示：甲方有权向乙方发出任何图纸变更或指令，乙方应无条件遵照执行。其他未尽事宜详见招标、响应文件。</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11.5 </w:t>
      </w:r>
      <w:r>
        <w:rPr>
          <w:rFonts w:hint="eastAsia" w:ascii="Segoe UI" w:hAnsi="Segoe UI" w:cs="Segoe UI"/>
          <w:color w:val="000000"/>
          <w:highlight w:val="none"/>
          <w:shd w:val="clear" w:color="auto" w:fill="ffffff"/>
        </w:rPr>
        <w:t xml:space="preserve"> </w:t>
      </w:r>
      <w:r>
        <w:rPr>
          <w:rFonts w:ascii="Segoe UI" w:hAnsi="Segoe UI" w:eastAsia="Segoe UI" w:cs="Segoe UI"/>
          <w:color w:val="000000"/>
          <w:highlight w:val="none"/>
          <w:shd w:val="clear" w:color="auto" w:fill="ffffff"/>
        </w:rPr>
        <w:t xml:space="preserve">保修期内，</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应在接到维修通知后24小时内响应，并及时完成修复。非</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原因造成的损坏，</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应配合处理，费用另议</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第12条  附则</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12.1  本合同保修期为：装修工程、电气管线等配套工程2年，屋面防水工程5年。保修方法参照国家及地方相关规定执行。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12.2  本合同一式</w:t>
      </w:r>
      <w:r>
        <w:rPr>
          <w:rFonts w:hint="eastAsia" w:cs="Times New Roman"/>
          <w:color w:val="000000"/>
          <w:highlight w:val="none"/>
          <w:u w:val="single"/>
          <w:lang w:bidi="ar"/>
        </w:rPr>
        <w:t xml:space="preserve"> 伍 </w:t>
      </w:r>
      <w:r>
        <w:rPr>
          <w:rFonts w:hint="eastAsia" w:cs="Times New Roman"/>
          <w:color w:val="000000"/>
          <w:highlight w:val="none"/>
          <w:lang w:bidi="ar"/>
        </w:rPr>
        <w:t xml:space="preserve">份，甲方执</w:t>
      </w:r>
      <w:r>
        <w:rPr>
          <w:rFonts w:hint="eastAsia" w:cs="Times New Roman"/>
          <w:color w:val="000000"/>
          <w:highlight w:val="none"/>
          <w:u w:val="single"/>
          <w:lang w:bidi="ar"/>
        </w:rPr>
        <w:t xml:space="preserve"> 叁 </w:t>
      </w:r>
      <w:r>
        <w:rPr>
          <w:rFonts w:hint="eastAsia" w:cs="Times New Roman"/>
          <w:color w:val="000000"/>
          <w:highlight w:val="none"/>
          <w:lang w:bidi="ar"/>
        </w:rPr>
        <w:t xml:space="preserve">份，乙方执</w:t>
      </w:r>
      <w:r>
        <w:rPr>
          <w:rFonts w:hint="eastAsia" w:cs="Times New Roman"/>
          <w:color w:val="000000"/>
          <w:highlight w:val="none"/>
          <w:u w:val="single"/>
          <w:lang w:bidi="ar"/>
        </w:rPr>
        <w:t xml:space="preserve"> 贰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12.3  本合同履行完成后自动终止。</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第13条 诚实信用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13.1  乙方应诚实信用，严格按照谈判文件要求和投标承诺履行合同，不向甲方进行商业贿赂或者提供不正当利益。</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第14条 合同生效及其他</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14.1  本合同自经甲乙双方授权代表签订并加盖公章后，自签订之日起生效。见证方仅对甲乙双方签订采购合同的事实进行见证，不代表任何承诺或保证，该合同的履行等相关情况均与见证方无任何关系。</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第15条  工程量报价清单详见附件2</w:t>
      </w:r>
      <w:r>
        <w:rPr>
          <w:color w:val="000000"/>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甲方：                                乙方：</w:t>
      </w:r>
      <w:r>
        <w:rPr>
          <w:rFonts w:hint="eastAsia" w:ascii="宋体" w:hAnsi="宋体" w:cs="宋体"/>
          <w:color w:val="000000"/>
          <w:sz w:val="24"/>
          <w:highlight w:val="none"/>
        </w:rPr>
      </w:r>
      <w:r/>
    </w:p>
    <w:p>
      <w:pPr>
        <w:pStyle w:val="1041"/>
        <w:ind w:left="7200" w:hanging="7200"/>
        <w:spacing w:line="360" w:lineRule="auto"/>
        <w:rPr>
          <w:rFonts w:ascii="宋体" w:hAnsi="宋体" w:cs="宋体"/>
          <w:color w:val="000000"/>
          <w:sz w:val="24"/>
          <w:highlight w:val="none"/>
          <w:u w:val="single"/>
          <w:lang w:bidi="ar"/>
        </w:rPr>
      </w:pPr>
      <w:r>
        <w:rPr>
          <w:rFonts w:hint="eastAsia" w:ascii="宋体" w:hAnsi="宋体" w:cs="宋体"/>
          <w:color w:val="000000"/>
          <w:sz w:val="24"/>
          <w:highlight w:val="none"/>
          <w:lang w:bidi="ar"/>
        </w:rPr>
        <w:t xml:space="preserve">单位名称（章）：</w:t>
      </w:r>
      <w:r>
        <w:rPr>
          <w:rFonts w:hint="eastAsia" w:ascii="宋体" w:hAnsi="宋体" w:cs="宋体"/>
          <w:color w:val="000000"/>
          <w:sz w:val="24"/>
          <w:highlight w:val="none"/>
          <w:u w:val="single"/>
          <w:lang w:bidi="ar"/>
        </w:rPr>
        <w:t xml:space="preserve"> 常州机电职业 </w:t>
      </w:r>
      <w:r>
        <w:rPr>
          <w:rFonts w:hint="eastAsia" w:ascii="宋体" w:hAnsi="宋体" w:cs="宋体"/>
          <w:color w:val="000000"/>
          <w:sz w:val="24"/>
          <w:highlight w:val="none"/>
          <w:lang w:bidi="ar"/>
        </w:rPr>
        <w:t xml:space="preserve">        单位名称（章）：</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r>
      <w:r/>
    </w:p>
    <w:p>
      <w:pPr>
        <w:pStyle w:val="1041"/>
        <w:ind w:firstLine="240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技术学院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rPr>
      </w:r>
      <w:r/>
    </w:p>
    <w:p>
      <w:pPr>
        <w:pStyle w:val="1041"/>
        <w:ind w:firstLine="6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单位地址：   常州市武进区             单位地址： </w:t>
      </w:r>
      <w:r>
        <w:rPr>
          <w:rFonts w:hint="eastAsia" w:ascii="宋体" w:hAnsi="宋体" w:cs="宋体"/>
          <w:color w:val="000000"/>
          <w:sz w:val="24"/>
          <w:highlight w:val="none"/>
          <w:lang w:bidi="ar"/>
        </w:rPr>
      </w:r>
      <w:r/>
    </w:p>
    <w:p>
      <w:pPr>
        <w:pStyle w:val="1041"/>
        <w:ind w:left="6476" w:hanging="480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鸣新中路26号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                           法定代表人：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委托代理人：           </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项目负责人：                           委托代理人：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开户银行： 农业银行常州                开户银行：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聚湖路支行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账    号： 10605701040004030           帐号：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税    号： 123200004660069658          税号：   </w:t>
      </w:r>
      <w:r>
        <w:rPr>
          <w:rFonts w:hint="eastAsia" w:ascii="宋体" w:hAnsi="宋体" w:cs="宋体"/>
          <w:color w:val="000000"/>
          <w:sz w:val="24"/>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rFonts w:hint="eastAsia"/>
          <w:b/>
          <w:color w:val="000000"/>
          <w:sz w:val="24"/>
          <w:highlight w:val="none"/>
        </w:rPr>
      </w:pPr>
      <w:r>
        <w:rPr>
          <w:rFonts w:hint="eastAsia"/>
          <w:b/>
          <w:color w:val="000000"/>
          <w:sz w:val="24"/>
          <w:highlight w:val="none"/>
        </w:rPr>
        <w:br w:type="page" w:clear="all"/>
      </w:r>
      <w:r>
        <w:rPr>
          <w:rFonts w:hint="eastAsia"/>
          <w:b/>
          <w:color w:val="000000"/>
          <w:sz w:val="24"/>
          <w:highlight w:val="none"/>
        </w:rPr>
        <w:t xml:space="preserve">附件1  响应人员表</w:t>
      </w: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t xml:space="preserve">附件2   工程量报价清单</w:t>
      </w:r>
      <w:r>
        <w:rPr>
          <w:rFonts w:hint="eastAsia"/>
          <w:b/>
          <w:color w:val="000000"/>
          <w:sz w:val="24"/>
          <w:highlight w:val="none"/>
        </w:rPr>
      </w:r>
      <w:r/>
    </w:p>
    <w:p>
      <w:pPr>
        <w:pStyle w:val="1041"/>
        <w:jc w:val="left"/>
        <w:widowControl/>
        <w:rPr>
          <w:rFonts w:hint="eastAsia" w:ascii="宋体" w:hAnsi="宋体" w:cs="宋体"/>
          <w:b/>
          <w:bCs/>
          <w:color w:val="000000"/>
          <w:sz w:val="24"/>
          <w:highlight w:val="none"/>
        </w:rPr>
      </w:pPr>
      <w:r/>
      <w:bookmarkEnd w:id="628"/>
      <w:r/>
      <w:bookmarkStart w:id="632" w:name="_Toc10386"/>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附件3：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2"/>
          <w:szCs w:val="32"/>
          <w:highlight w:val="none"/>
        </w:rPr>
      </w:pPr>
      <w:r>
        <w:rPr>
          <w:rFonts w:hint="eastAsia" w:ascii="宋体" w:hAnsi="宋体" w:cs="宋体"/>
          <w:b/>
          <w:bCs/>
          <w:color w:val="000000"/>
          <w:sz w:val="28"/>
          <w:szCs w:val="32"/>
          <w:highlight w:val="none"/>
        </w:rPr>
        <w:t xml:space="preserve">廉政责任书</w:t>
      </w:r>
      <w:r>
        <w:rPr>
          <w:rFonts w:hint="eastAsia" w:ascii="宋体" w:hAnsi="宋体" w:cs="宋体"/>
          <w:b/>
          <w:bCs/>
          <w:color w:val="000000"/>
          <w:sz w:val="22"/>
          <w:szCs w:val="32"/>
          <w:highlight w:val="non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建设单位（甲方）：</w:t>
      </w:r>
      <w:r>
        <w:rPr>
          <w:rFonts w:hint="eastAsia" w:ascii="宋体" w:hAnsi="宋体" w:cs="宋体"/>
          <w:bCs/>
          <w:color w:val="000000"/>
          <w:sz w:val="24"/>
          <w:highlight w:val="none"/>
          <w:u w:val="single"/>
        </w:rPr>
        <w:t xml:space="preserve">常州机电职业技术学院</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b/>
          <w:color w:val="000000"/>
          <w:sz w:val="24"/>
          <w:highlight w:val="none"/>
          <w:u w:val="single"/>
        </w:rPr>
      </w:pPr>
      <w:r>
        <w:rPr>
          <w:rFonts w:hint="eastAsia" w:ascii="宋体" w:hAnsi="宋体" w:cs="宋体"/>
          <w:bCs/>
          <w:color w:val="000000"/>
          <w:sz w:val="24"/>
          <w:highlight w:val="none"/>
        </w:rPr>
        <w:t xml:space="preserve">施工单位（乙方）：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u w:val="single"/>
        </w:rPr>
        <w:t xml:space="preserve">常州机电职业技术学院善学楼（东教学楼）升级改造项目           </w:t>
      </w: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为加强项目廉政建设，规范项目各项活动中甲、乙双方的行为，防止谋取不正当利益的违法违纪现象的发生，保护国家、集体和当事人的合法权益，根据国家有关法律法规和廉政建设的有关规定，订立本廉政责任书。</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3" w:name="_Toc362274938"/>
      <w:r/>
      <w:bookmarkStart w:id="634" w:name="_Toc352237870"/>
      <w:r>
        <w:rPr>
          <w:rFonts w:hint="eastAsia" w:ascii="宋体" w:hAnsi="宋体" w:cs="宋体"/>
          <w:color w:val="000000"/>
          <w:sz w:val="24"/>
          <w:highlight w:val="none"/>
        </w:rPr>
        <w:t xml:space="preserve">一、双方的责任</w:t>
      </w:r>
      <w:bookmarkEnd w:id="633"/>
      <w:r/>
      <w:bookmarkEnd w:id="634"/>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1.1应严格遵守国家关于廉政建设的有关法律、法规，相关政策，以及各项规定。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1.2严格执行项目合同文件，自觉按合同办事。</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1.3各项活动必须坚持公开、公平、公正、诚信、透明的原则(除法律法规另有规定者外)，不得为获取不正当的利益，损害国家、集体和对方利益，不得违反相关规章制度。</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5" w:name="_Toc362274939"/>
      <w:r/>
      <w:bookmarkStart w:id="636" w:name="_Toc352237871"/>
      <w:r>
        <w:rPr>
          <w:rFonts w:hint="eastAsia" w:ascii="宋体" w:hAnsi="宋体" w:cs="宋体"/>
          <w:color w:val="000000"/>
          <w:sz w:val="24"/>
          <w:highlight w:val="none"/>
        </w:rPr>
        <w:t xml:space="preserve">二、甲方责任</w:t>
      </w:r>
      <w:bookmarkEnd w:id="635"/>
      <w:r/>
      <w:bookmarkEnd w:id="636"/>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甲方的领导和从事该项目的工作人员，应遵守以下规定：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2.1不得向乙方和相关单位索要或接受回扣、礼金、有价证券、贵重物品和好处费、感谢费等。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2.2不得在乙方和相关单位报销任何应由甲方或个人支付的费用。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2.3不得要求、暗示或接受乙方和相关单位为个人装修住房、婚丧嫁娶、配偶子女的工作安排以及出国(境)、旅游等提供方便。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2.4不得参加有可能影响公正执行公务的乙方和相关单位的宴请、健身、娱乐等活动。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2.5不得向乙方和相关单位介绍或为配偶、子女、亲属参与同甲方项目有关的业务活动；不得以任何理由要求乙方和相关单位使用某种产品、材料和设备。</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7" w:name="_Toc362274940"/>
      <w:r/>
      <w:bookmarkStart w:id="638" w:name="_Toc352237872"/>
      <w:r>
        <w:rPr>
          <w:rFonts w:hint="eastAsia" w:ascii="宋体" w:hAnsi="宋体" w:cs="宋体"/>
          <w:color w:val="000000"/>
          <w:sz w:val="24"/>
          <w:highlight w:val="none"/>
        </w:rPr>
        <w:t xml:space="preserve">三、乙方责任</w:t>
      </w:r>
      <w:bookmarkEnd w:id="637"/>
      <w:r/>
      <w:bookmarkEnd w:id="638"/>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应与甲方保持正常的业务交往，按照有关法律法规和程序开展业务工作，并遵守以下规定：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3.1不得以任何理由向甲方及其工作人员索要、接受或赠送礼金、有价证券、贵重物品及回扣、好处费、感谢费等。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3.2不得以任何理由为甲方和相关单位报销应由对方或个人支付的费用。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3.3不得接受或暗示为甲方、相关单位或个人装修住房、婚丧嫁娶、配偶子女的工作安排以及出国(境)、旅游等提供方便。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3.4不得以任何理由为甲方、相关单位或个人组织有可能影响公正执行公务的宴请、健身、娱乐等活动。</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39" w:name="_Toc362274941"/>
      <w:r/>
      <w:bookmarkStart w:id="640" w:name="_Toc352237873"/>
      <w:r>
        <w:rPr>
          <w:rFonts w:hint="eastAsia" w:ascii="宋体" w:hAnsi="宋体" w:cs="宋体"/>
          <w:color w:val="000000"/>
          <w:sz w:val="24"/>
          <w:highlight w:val="none"/>
        </w:rPr>
        <w:t xml:space="preserve">四、违约责任</w:t>
      </w:r>
      <w:bookmarkEnd w:id="639"/>
      <w:r/>
      <w:bookmarkEnd w:id="640"/>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4.1甲方工作人员有违反本责任书第一、二条责任行为的，依据有关法律、法规给予处理；涉嫌犯罪的，移交司法机关追究刑事责任；给乙方单位造成经济损失的，应予以赔偿。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4.2乙方工作人员有违反本责任书第一、三条责任行为的，依据有关法律法规处理；涉嫌犯罪的，移交司法机关追究刑事责任；给甲方单位造成经济损失的，应予以赔偿。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4.3本责任书作为服务合同的组成部分，与服务合同具有同等法律效力。经双方签署后立即生效。</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1" w:name="_Toc352237874"/>
      <w:r/>
      <w:bookmarkStart w:id="642" w:name="_Toc362274942"/>
      <w:r>
        <w:rPr>
          <w:rFonts w:hint="eastAsia" w:ascii="宋体" w:hAnsi="宋体" w:cs="宋体"/>
          <w:color w:val="000000"/>
          <w:sz w:val="24"/>
          <w:highlight w:val="none"/>
        </w:rPr>
        <w:t xml:space="preserve">五、责任书有效期</w:t>
      </w:r>
      <w:bookmarkEnd w:id="641"/>
      <w:r/>
      <w:bookmarkEnd w:id="642"/>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本责任书的有效期为双方签署之日起至该项目实施完成时止。</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3" w:name="_Toc352237875"/>
      <w:r/>
      <w:bookmarkStart w:id="644" w:name="_Toc362274943"/>
      <w:r>
        <w:rPr>
          <w:rFonts w:hint="eastAsia" w:ascii="宋体" w:hAnsi="宋体" w:cs="宋体"/>
          <w:color w:val="000000"/>
          <w:sz w:val="24"/>
          <w:highlight w:val="none"/>
        </w:rPr>
        <w:t xml:space="preserve">六、责任书份数</w:t>
      </w:r>
      <w:bookmarkEnd w:id="643"/>
      <w:r/>
      <w:bookmarkEnd w:id="644"/>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本责任书一式捌份，甲方肆份，乙方肆份，具有同等效力。</w:t>
      </w:r>
      <w:r>
        <w:rPr>
          <w:rFonts w:hint="eastAsia" w:ascii="宋体" w:hAnsi="宋体" w:cs="宋体"/>
          <w:color w:val="000000"/>
          <w:sz w:val="24"/>
          <w:highlight w:val="none"/>
        </w:rPr>
      </w:r>
      <w:r/>
    </w:p>
    <w:p>
      <w:pPr>
        <w:pStyle w:val="1041"/>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95"/>
        <w:gridCol w:w="4169"/>
      </w:tblGrid>
      <w:tr>
        <w:trPr/>
        <w:tc>
          <w:tcPr>
            <w:tcBorders>
              <w:top w:val="none" w:color="000000" w:sz="0" w:space="0"/>
              <w:left w:val="none" w:color="000000" w:sz="0" w:space="0"/>
              <w:bottom w:val="none" w:color="000000" w:sz="0" w:space="0"/>
              <w:right w:val="none" w:color="000000" w:sz="0" w:space="0"/>
            </w:tcBorders>
            <w:tcW w:w="4195"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169"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乙方(公章)：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r>
    </w:tbl>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附件4：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8"/>
          <w:szCs w:val="32"/>
          <w:highlight w:val="none"/>
        </w:rPr>
      </w:pPr>
      <w:r/>
      <w:bookmarkStart w:id="645" w:name="_Toc72278419"/>
      <w:r>
        <w:rPr>
          <w:rFonts w:hint="eastAsia" w:ascii="宋体" w:hAnsi="宋体" w:cs="宋体"/>
          <w:b/>
          <w:bCs/>
          <w:color w:val="000000"/>
          <w:sz w:val="28"/>
          <w:szCs w:val="32"/>
          <w:highlight w:val="none"/>
        </w:rPr>
        <w:t xml:space="preserve">建筑施工安全生产协议</w:t>
      </w:r>
      <w:bookmarkEnd w:id="645"/>
      <w:r>
        <w:rPr>
          <w:rFonts w:hint="eastAsia" w:ascii="宋体" w:hAnsi="宋体" w:cs="宋体"/>
          <w:b/>
          <w:bCs/>
          <w:color w:val="000000"/>
          <w:sz w:val="28"/>
          <w:szCs w:val="32"/>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施工单位：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为保障施工安全、顺利完成上述建筑工程项目施工，建设单位将建筑工程项目委托施工单位进行施工，为了明确三方的安全生产责任，确保施工安全，在签订建筑工程合同的同时，签订本协议，三方必须严格执行。</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建设单位责任：</w:t>
      </w:r>
      <w:r>
        <w:rPr>
          <w:rFonts w:hint="eastAsia" w:ascii="宋体" w:hAnsi="宋体" w:cs="宋体"/>
          <w:b/>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　</w:t>
      </w:r>
      <w:r>
        <w:rPr>
          <w:rFonts w:hint="eastAsia" w:ascii="宋体" w:hAnsi="宋体" w:cs="宋体"/>
          <w:color w:val="000000"/>
          <w:sz w:val="24"/>
          <w:highlight w:val="none"/>
        </w:rPr>
        <w:t xml:space="preserve">建设单位应当向施工单位提供施工现场及毗邻区域内供水、排水、供电、供气、供热、通信、广播电视等地下管线资料，气象和水文观测资料，相邻建筑物和构筑物、地下工程的有关资料，并保证资料的真实、准确、完整。</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建设单位因建设工程需要，向有关部门或者单位查询前款规定的资料时，有关部门或者单位应当及时提供。</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建设单位不得对勘察、设计、施工、工程监理等单位提出不符合建设工程安全生产法律、法规和强制性标准规定的要求，不得压缩合同约定的工期。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建设单位在编制工程概算时，应当确定建设工程安全作业环境及安全施工措施所需费用。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建设单位不得明示或者暗示施工单位购买、租赁、使用不符合安全施工要求的安全防护用具、机械设备、施工机具及配件、消防设施和器材。</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施工单位责任：</w:t>
      </w:r>
      <w:r>
        <w:rPr>
          <w:rFonts w:hint="eastAsia" w:ascii="宋体" w:hAnsi="宋体" w:cs="宋体"/>
          <w:color w:val="000000"/>
          <w:sz w:val="24"/>
          <w:highlight w:val="none"/>
        </w:rPr>
      </w:r>
      <w:r/>
    </w:p>
    <w:p>
      <w:pPr>
        <w:pStyle w:val="1041"/>
        <w:ind w:firstLine="47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施工单位从事建设工程的新建、扩建、改建和拆除等活动，应当具备国家规定的注册资本、专业技术人员、技术装备和安全生产等条件，依法取得相应等级的资质证书，并在其资质等级许可的范围内承揽工程。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施工单位对列入建设工程概算的安全作业环境及安全施工措施所需费用，应当用于施工安全防护用具及设施的采购和更新、安全施工措施的落实、安全生产条件的改善，不得挪作他用。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施工单位应当设立安全生产管理机构，配备专职安全生产管理人员。</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专职安全生产管理人员负责对安全生产进行现场监督检查。发现安全事故隐患，应当及时向项目负责人和安全生产管理机构报告；对违章指挥、违章操作的，应当立即制止。</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专职安全生产管理人员的配备办法由国务院建设行政主管部门会同国务院其他有关部门制定。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第五条</w:t>
      </w:r>
      <w:r>
        <w:rPr>
          <w:rFonts w:hint="eastAsia" w:ascii="宋体" w:hAnsi="宋体" w:cs="宋体"/>
          <w:color w:val="000000"/>
          <w:sz w:val="24"/>
          <w:highlight w:val="none"/>
        </w:rPr>
        <w:t xml:space="preserve">　建设工程实行施工总承包的，由总承包单位对施工现场的安全生产负总责。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总承包单位应当自行完成建设工程主体结构的施工。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总承包单位依法将建设工程分包给其他单位的，分包合同中应当明确各自的安全生产方面的权利、义务。总承包单位和分包单位对分包工程的安全生产承担连带责任。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分包单位应当服从总承包单位的安全生产管理，分包单位不服从管理导致生产安全事故的，由分包单位承担主要责任。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第六条</w:t>
      </w:r>
      <w:r>
        <w:rPr>
          <w:rFonts w:hint="eastAsia" w:ascii="宋体" w:hAnsi="宋体" w:cs="宋体"/>
          <w:color w:val="000000"/>
          <w:sz w:val="24"/>
          <w:highlight w:val="none"/>
        </w:rPr>
        <w:t xml:space="preserve">　垂直运输机械作业人员、安装拆卸工、爆破作业人员、起重信号工、登高架设作业人员等特种作业人员，必须按照国家有关规定经过专门的安全作业培训，并取得特种作业操作资格证书后，方可上岗作业。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第七条</w:t>
      </w:r>
      <w:r>
        <w:rPr>
          <w:rFonts w:hint="eastAsia" w:ascii="宋体" w:hAnsi="宋体" w:cs="宋体"/>
          <w:color w:val="000000"/>
          <w:sz w:val="24"/>
          <w:highlight w:val="none"/>
        </w:rPr>
        <w:t xml:space="preserve">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(一)基坑支护与降水工程；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(二)土方开挖工程；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(三)模板工程；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(四)起重吊装工程；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(五)脚手架工程；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(六)拆除、爆破工程；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(七)国务院建设行政主管部门或者其他有关部门规定的其他危险性较大的工程。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对前款所列工程中涉及深基坑、地下暗挖工程、高大模板工程的专项施工方案，施工单位还应当组织专家进行论证、审查。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本条第一款规定的达到一定规模的危险性较大工程的标准，由国务院建设行政主管部门会同国务院其他有关部门制定。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第八条</w:t>
      </w:r>
      <w:r>
        <w:rPr>
          <w:rFonts w:hint="eastAsia" w:ascii="宋体" w:hAnsi="宋体" w:cs="宋体"/>
          <w:color w:val="000000"/>
          <w:sz w:val="24"/>
          <w:highlight w:val="none"/>
        </w:rPr>
        <w:t xml:space="preserve">　建设工程施工前，施工单位负责项目管理的技术人员应当对有关安全施工的技术要求向施工作业班组、作业人员作出详细说明，并由双方签字确认。</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第九条</w:t>
      </w:r>
      <w:r>
        <w:rPr>
          <w:rFonts w:hint="eastAsia" w:ascii="宋体" w:hAnsi="宋体" w:cs="宋体"/>
          <w:color w:val="000000"/>
          <w:sz w:val="24"/>
          <w:highlight w:val="none"/>
        </w:rPr>
        <w:t xml:space="preserve">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第十条</w:t>
      </w:r>
      <w:r>
        <w:rPr>
          <w:rFonts w:hint="eastAsia" w:ascii="宋体" w:hAnsi="宋体" w:cs="宋体"/>
          <w:color w:val="000000"/>
          <w:sz w:val="24"/>
          <w:highlight w:val="none"/>
        </w:rPr>
        <w:t xml:space="preserve">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施工现场临时搭建的建筑物应当符合安全使用要求。施工现场使用的装配式活动房屋应当具有产品合格证。</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第十一条</w:t>
      </w:r>
      <w:r>
        <w:rPr>
          <w:rFonts w:hint="eastAsia" w:ascii="宋体" w:hAnsi="宋体" w:cs="宋体"/>
          <w:color w:val="000000"/>
          <w:sz w:val="24"/>
          <w:highlight w:val="none"/>
        </w:rPr>
        <w:t xml:space="preserve">　施工单位对因建设工程施工可能造成损害的毗邻建筑物、构筑物和地下管线等，应当采取专项防护措施。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施工单位应当遵守有关环境保护法律、法规的规定，在施工现场采取措施，防止或者减少粉尘、废气、废水、固体废物、噪声、振动和施工照明对人和环境的危害和污染。</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在城市市区内的建设工程，施工单位应当对施工现场实行封闭围挡。</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第十二条</w:t>
      </w:r>
      <w:r>
        <w:rPr>
          <w:rFonts w:hint="eastAsia" w:ascii="宋体" w:hAnsi="宋体" w:cs="宋体"/>
          <w:color w:val="000000"/>
          <w:sz w:val="24"/>
          <w:highlight w:val="none"/>
        </w:rPr>
        <w:t xml:space="preserve">　施工单位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第十三条</w:t>
      </w:r>
      <w:r>
        <w:rPr>
          <w:rFonts w:hint="eastAsia" w:ascii="宋体" w:hAnsi="宋体" w:cs="宋体"/>
          <w:color w:val="000000"/>
          <w:sz w:val="24"/>
          <w:highlight w:val="none"/>
        </w:rPr>
        <w:t xml:space="preserve">　施工单位应当向作业人员提供安全防护用具和安全防护服装，并书面告知危险岗位的操作规程和违章操作的危害。</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作业人员有权对施工现场的作业条件、作业程序和作业方式中存在的安全问题提出批评、检举和控告，有权拒绝违章指挥和强令冒险作业。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在施工中发生危及人身安全的紧急情况时，作业人员有权立即停止作业或者在采取必要的应急措施后撤离危险区域。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第十四条</w:t>
      </w:r>
      <w:r>
        <w:rPr>
          <w:rFonts w:hint="eastAsia" w:ascii="宋体" w:hAnsi="宋体" w:cs="宋体"/>
          <w:color w:val="000000"/>
          <w:sz w:val="24"/>
          <w:highlight w:val="none"/>
        </w:rPr>
        <w:t xml:space="preserve">　作业人员应当遵守安全施工的强制性标准、规章制度和操作规程，正确使用安全防护用具、机械设备等。</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第十五条</w:t>
      </w:r>
      <w:r>
        <w:rPr>
          <w:rFonts w:hint="eastAsia" w:ascii="宋体" w:hAnsi="宋体" w:cs="宋体"/>
          <w:color w:val="000000"/>
          <w:sz w:val="24"/>
          <w:highlight w:val="none"/>
        </w:rPr>
        <w:t xml:space="preserve">　施工单位采购、租赁的安全防护用具、机械设备、施工机具及配件，应当具有生产(制造)许可证、产品合格证，并在进入施工现场前进行查验。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施工现场的安全防护用具、机械设备、施工机具及配件必须由专人管理，定期进行检查、维修和保养，建立相应的资料档案，并按照国家有关规定及时报废。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第十六条</w:t>
      </w:r>
      <w:r>
        <w:rPr>
          <w:rFonts w:hint="eastAsia" w:ascii="宋体" w:hAnsi="宋体" w:cs="宋体"/>
          <w:color w:val="000000"/>
          <w:sz w:val="24"/>
          <w:highlight w:val="none"/>
        </w:rPr>
        <w:t xml:space="preserve">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《特种设备安全监察条例》规定的施工起重机械，在验收前应当经有相应资质的检验检测机构监督检验合格。</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施工单位应当自施工起重机械和整体提升脚手架、模板等自升式架设设施验收合格之日起30日内，向建设行政主管部门或者其他有关部门登记。登记标志应当置于或者附着于该设备的显著位置。</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第十七条</w:t>
      </w:r>
      <w:r>
        <w:rPr>
          <w:rFonts w:hint="eastAsia" w:ascii="宋体" w:hAnsi="宋体" w:cs="宋体"/>
          <w:color w:val="000000"/>
          <w:sz w:val="24"/>
          <w:highlight w:val="none"/>
        </w:rPr>
        <w:t xml:space="preserve">　施工单位的主要负责人、项目负责人、专职安全生产管理人员应当经建设行政主管部门或者其他有关部门考核合格后方可任职。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施工单位应当对管理人员和作业人员每年至少进行一次安全生产教育培训，其教育培训情况记入个人工作档案。安全生产教育培训考核不合格的人员，不得上岗。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第十八条</w:t>
      </w:r>
      <w:r>
        <w:rPr>
          <w:rFonts w:hint="eastAsia" w:ascii="宋体" w:hAnsi="宋体" w:cs="宋体"/>
          <w:color w:val="000000"/>
          <w:sz w:val="24"/>
          <w:highlight w:val="none"/>
        </w:rPr>
        <w:t xml:space="preserve">　作业人员进入新的岗位或者新的施工现场前，应当接受安全生产教育培训。未经教育培训或者教育培训考核不合格的人员，不得上岗作业。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施工单位在采用新技术、新工艺、新设备、新材料时，应当对作业人员进行相应的安全生产教育培训。</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第十九条</w:t>
      </w:r>
      <w:r>
        <w:rPr>
          <w:rFonts w:hint="eastAsia" w:ascii="宋体" w:hAnsi="宋体" w:cs="宋体"/>
          <w:color w:val="000000"/>
          <w:sz w:val="24"/>
          <w:highlight w:val="none"/>
        </w:rPr>
        <w:t xml:space="preserve">　施工单位应当为施工现场从事危险作业的人员办理意外伤害保险。</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意外伤害保险费由施工单位支付。实行施工总承包的，由总承包单位支付意外伤害保险费。意外伤害保险期限自建设工程开工之日起至竣工验收合格止。</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监理单位责任：</w:t>
      </w:r>
      <w:r>
        <w:rPr>
          <w:rFonts w:hint="eastAsia" w:ascii="宋体" w:hAnsi="宋体" w:cs="宋体"/>
          <w:b/>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工程监理单位应当审查施工组织设计中的安全技术措施或者专项施工方案是否符合工程建设强制性标准。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在实施监理过程中，发现存在安全事故隐患的，应当要求施工单位整改；情况严重的，应当要求施工单位暂时停止施工，并及时报告建设单位。施工单位拒不整改或者不停止施工的，工程监理单位应当及时向有关主管部门报告。</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工程监理单位和监理工程师应当按照法律、法规和工程建设强制性标准实施监理，并对建设工程安全生产承担监理责任。</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事故调查：</w:t>
      </w:r>
      <w:r>
        <w:rPr>
          <w:rFonts w:hint="eastAsia" w:ascii="宋体" w:hAnsi="宋体" w:cs="宋体"/>
          <w:b/>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练。</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实行施工总承包的建设工程，由总承包单位负责上报事故。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发生生产安全事故后，施工单位应当采取措施防止事故扩大，保护事故现场。需要移动现场物品时，应当做出标记和书面记录，妥善保管有关证物。</w:t>
      </w:r>
      <w:r>
        <w:rPr>
          <w:rFonts w:hint="eastAsia" w:ascii="宋体" w:hAnsi="宋体" w:cs="宋体"/>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本协议未尽事宜，参照相关安全生产法律法规规定执行。</w:t>
      </w:r>
      <w:r>
        <w:rPr>
          <w:rFonts w:hint="eastAsia" w:ascii="宋体" w:hAnsi="宋体" w:cs="宋体"/>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本协议一式三份，建设单位、施工单位、监理单位各执一份。本协议自签订之日起生效，项目验收合格交付使用，协议自行终止。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建设单位（公章）：                      施工单位（公章）：</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before="91" w:line="219"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附件5：</w:t>
      </w:r>
      <w:r>
        <w:rPr>
          <w:rFonts w:hint="eastAsia" w:ascii="宋体" w:hAnsi="宋体" w:cs="宋体"/>
          <w:b/>
          <w:bCs/>
          <w:color w:val="000000"/>
          <w:sz w:val="24"/>
          <w:highlight w:val="none"/>
        </w:rPr>
      </w:r>
      <w:r/>
    </w:p>
    <w:p>
      <w:pPr>
        <w:pStyle w:val="1041"/>
        <w:jc w:val="center"/>
        <w:spacing w:before="91" w:line="219" w:lineRule="auto"/>
        <w:rPr>
          <w:rFonts w:hint="eastAsia" w:ascii="宋体" w:hAnsi="宋体" w:cs="宋体"/>
          <w:b/>
          <w:bCs/>
          <w:color w:val="000000"/>
          <w:sz w:val="32"/>
          <w:szCs w:val="32"/>
          <w:highlight w:val="none"/>
        </w:rPr>
      </w:pPr>
      <w:r>
        <w:rPr>
          <w:rFonts w:hint="eastAsia" w:ascii="宋体" w:hAnsi="宋体" w:cs="宋体"/>
          <w:b/>
          <w:bCs/>
          <w:color w:val="000000"/>
          <w:spacing w:val="-1"/>
          <w:sz w:val="32"/>
          <w:szCs w:val="32"/>
          <w:highlight w:val="none"/>
        </w:rPr>
        <w:t xml:space="preserve">工程质量保修书</w:t>
      </w:r>
      <w:r>
        <w:rPr>
          <w:rFonts w:hint="eastAsia" w:ascii="宋体" w:hAnsi="宋体" w:cs="宋体"/>
          <w:b/>
          <w:bCs/>
          <w:color w:val="000000"/>
          <w:sz w:val="32"/>
          <w:szCs w:val="32"/>
          <w:highlight w:val="none"/>
        </w:rPr>
      </w:r>
      <w:r/>
    </w:p>
    <w:p>
      <w:pPr>
        <w:pStyle w:val="1041"/>
        <w:ind w:firstLine="3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ind w:firstLine="3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u w:val="singl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发包人和承包人根据《中华人民共和国建筑法》和《建设工程质量管理条例》， 经协商一致就</w:t>
      </w:r>
      <w:r>
        <w:rPr>
          <w:rFonts w:hint="eastAsia" w:ascii="宋体" w:hAnsi="宋体" w:cs="宋体"/>
          <w:color w:val="000000"/>
          <w:sz w:val="24"/>
          <w:highlight w:val="none"/>
          <w:u w:val="single"/>
        </w:rPr>
        <w:t xml:space="preserve">常州机电职业技术学院善学楼（东教学楼）升级改造项目 </w:t>
      </w:r>
      <w:r>
        <w:rPr>
          <w:rFonts w:hint="eastAsia" w:ascii="宋体" w:hAnsi="宋体" w:cs="宋体"/>
          <w:color w:val="000000"/>
          <w:sz w:val="24"/>
          <w:highlight w:val="none"/>
        </w:rPr>
        <w:t xml:space="preserve">签订工程质量保修书。</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一、工程质量保修范围和内容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承包人在质量保修期内，按照有关法律规定和合同约定，承担工程质量保修责任。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按合同承包范围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1.地基基础工程和主体结构工程为设计文件规定的该工程合理使用年限；</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2.屋面防水工程、有防水要求的卫生间、房间和外墙面的防渗漏为伍年；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3.装修工程为贰年；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4.电气管线、给排水管道、设备安装工程为贰年；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5.供热与供冷系统为贰个采暖期、供冷期；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6.住宅小区内的给排水设施、道路等配套工程为贰年；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 /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 24个月，缺陷责任期自工程竣工验收合格之日起计算。单位工程先于全部工程进行验收，单位工程缺陷责任期自单位工程验收合格之日起算。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五、保修费用</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六、双方约定的其他工程质量保修事项：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因承包人原因造成工程的缺陷或损坏，承包人拒绝维修或未能在合理期限内 修复缺陷或损坏，且经发包人书面催告后仍未修复的，发包人有权自行修复或委 托第三方修复，所需费用由承包人承担。但修复范围超出缺陷或损坏范围的，超出范围部分的修复费用由发包人承担。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发包人(公章)：                      承包人(公章)：</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                            地  址：</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                  法定代表人(签字)：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                  委托代理人(签字)：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                            电  话：</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传  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                            账  号：</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                          邮政编码： </w:t>
      </w:r>
      <w:r>
        <w:rPr>
          <w:rFonts w:hint="eastAsia" w:ascii="宋体" w:hAnsi="宋体" w:cs="宋体"/>
          <w:color w:val="000000"/>
          <w:sz w:val="24"/>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注：上述格式及内容仅供参考，具体以甲乙双方签订合同时内容为准。</w:t>
      </w:r>
      <w:r>
        <w:rPr>
          <w:rFonts w:hint="eastAsia" w:ascii="宋体" w:hAnsi="宋体" w:cs="宋体"/>
          <w:b/>
          <w:color w:val="000000"/>
          <w:szCs w:val="21"/>
          <w:highlight w:val="none"/>
        </w:rPr>
      </w:r>
      <w:r/>
    </w:p>
    <w:p>
      <w:pPr>
        <w:pStyle w:val="1041"/>
        <w:jc w:val="center"/>
        <w:spacing w:line="360" w:lineRule="auto"/>
        <w:rPr>
          <w:b/>
          <w:color w:val="000000"/>
          <w:sz w:val="36"/>
          <w:szCs w:val="36"/>
          <w:highlight w:val="none"/>
        </w:rPr>
        <w:outlineLvl w:val="0"/>
      </w:pPr>
      <w:r>
        <w:rPr>
          <w:b/>
          <w:color w:val="000000"/>
          <w:sz w:val="36"/>
          <w:szCs w:val="36"/>
          <w:highlight w:val="none"/>
        </w:rPr>
        <w:br w:type="page" w:clear="all"/>
      </w:r>
      <w:bookmarkStart w:id="646" w:name="_Toc20453"/>
      <w:r/>
      <w:bookmarkStart w:id="647" w:name="_Toc5215"/>
      <w:r/>
      <w:bookmarkStart w:id="648" w:name="_Toc23235"/>
      <w:r>
        <w:rPr>
          <w:b/>
          <w:color w:val="000000"/>
          <w:sz w:val="36"/>
          <w:szCs w:val="36"/>
          <w:highlight w:val="none"/>
        </w:rPr>
        <w:t xml:space="preserve">第六章   响应文件格式</w:t>
      </w:r>
      <w:bookmarkEnd w:id="627"/>
      <w:r/>
      <w:bookmarkEnd w:id="632"/>
      <w:r/>
      <w:bookmarkEnd w:id="646"/>
      <w:r/>
      <w:bookmarkEnd w:id="647"/>
      <w:r/>
      <w:bookmarkEnd w:id="648"/>
      <w:r>
        <w:rPr>
          <w:b/>
          <w:color w:val="000000"/>
          <w:sz w:val="36"/>
          <w:szCs w:val="36"/>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41"/>
        <w:jc w:val="left"/>
        <w:widowControl/>
        <w:rPr>
          <w:color w:val="000000"/>
          <w:sz w:val="24"/>
          <w:highlight w:val="none"/>
        </w:rPr>
      </w:pPr>
      <w:r>
        <w:rPr>
          <w:color w:val="000000"/>
          <w:sz w:val="24"/>
          <w:highlight w:val="none"/>
        </w:rPr>
        <w:br w:type="page" w:clear="all"/>
      </w:r>
      <w:r>
        <w:rPr>
          <w:color w:val="000000"/>
          <w:sz w:val="24"/>
          <w:highlight w:val="none"/>
        </w:rPr>
      </w:r>
      <w:r/>
    </w:p>
    <w:p>
      <w:pPr>
        <w:pStyle w:val="1041"/>
        <w:rPr>
          <w:b/>
          <w:color w:val="000000"/>
          <w:spacing w:val="20"/>
          <w:szCs w:val="21"/>
          <w:highlight w:val="none"/>
        </w:rPr>
      </w:pPr>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pacing w:val="20"/>
          <w:szCs w:val="21"/>
          <w:highlight w:val="none"/>
        </w:rPr>
      </w:r>
      <w:r/>
    </w:p>
    <w:p>
      <w:pPr>
        <w:pStyle w:val="1041"/>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41"/>
        <w:jc w:val="center"/>
        <w:rPr>
          <w:color w:val="000000"/>
          <w:szCs w:val="21"/>
          <w:highlight w:val="none"/>
        </w:rPr>
      </w:pPr>
      <w:r>
        <w:rPr>
          <w:color w:val="000000"/>
          <w:szCs w:val="21"/>
          <w:highlight w:val="none"/>
        </w:rPr>
      </w:r>
      <w:r/>
    </w:p>
    <w:p>
      <w:pPr>
        <w:pStyle w:val="104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41"/>
        <w:jc w:val="center"/>
        <w:rPr>
          <w:b/>
          <w:color w:val="000000"/>
          <w:spacing w:val="60"/>
          <w:sz w:val="52"/>
          <w:szCs w:val="52"/>
          <w:highlight w:val="none"/>
        </w:rPr>
      </w:pPr>
      <w:r>
        <w:rPr>
          <w:b/>
          <w:color w:val="000000"/>
          <w:spacing w:val="60"/>
          <w:sz w:val="52"/>
          <w:szCs w:val="5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jc w:val="center"/>
        <w:rPr>
          <w:b/>
          <w:color w:val="000000"/>
          <w:sz w:val="32"/>
          <w:szCs w:val="32"/>
          <w:highlight w:val="none"/>
        </w:rPr>
      </w:pPr>
      <w:r>
        <w:rPr>
          <w:b/>
          <w:color w:val="000000"/>
          <w:sz w:val="32"/>
          <w:szCs w:val="32"/>
          <w:highlight w:val="non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b/>
          <w:color w:val="000000"/>
          <w:spacing w:val="20"/>
          <w:sz w:val="32"/>
          <w:szCs w:val="32"/>
          <w:highlight w:val="none"/>
        </w:rPr>
        <w:br w:type="page" w:clear="all"/>
      </w:r>
      <w:r>
        <w:rPr>
          <w:rFonts w:hint="eastAsia"/>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1"/>
        <w:rPr>
          <w:b/>
          <w:bCs/>
          <w:color w:val="000000"/>
          <w:highlight w:val="none"/>
        </w:rPr>
        <w:outlineLvl w:val="3"/>
      </w:pPr>
      <w:r>
        <w:rPr>
          <w:b/>
          <w:color w:val="000000"/>
          <w:highlight w:val="none"/>
        </w:rPr>
        <w:t xml:space="preserve">1-</w:t>
      </w:r>
      <w:r>
        <w:rPr>
          <w:rFonts w:hint="eastAsia"/>
          <w:b/>
          <w:color w:val="000000"/>
          <w:highlight w:val="none"/>
        </w:rPr>
        <w:t xml:space="preserve">1</w:t>
      </w:r>
      <w:r>
        <w:rPr>
          <w:b/>
          <w:color w:val="000000"/>
          <w:highlight w:val="none"/>
        </w:rPr>
        <w:t xml:space="preserve"> 供应商资格声明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104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致：常州青果招投标有限公司</w:t>
      </w:r>
      <w:r>
        <w:rPr>
          <w:rFonts w:hint="eastAsia"/>
          <w:color w:val="000000"/>
          <w:highlight w:val="none"/>
        </w:rPr>
      </w:r>
      <w:r/>
    </w:p>
    <w:p>
      <w:pPr>
        <w:pStyle w:val="1055"/>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5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5"/>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41"/>
        <w:spacing w:line="360" w:lineRule="auto"/>
        <w:tabs>
          <w:tab w:val="left" w:pos="5580" w:leader="none"/>
        </w:tabs>
        <w:rPr>
          <w:color w:val="000000"/>
          <w:sz w:val="24"/>
          <w:highlight w:val="none"/>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pStyle w:val="1041"/>
        <w:numPr>
          <w:ilvl w:val="0"/>
          <w:numId w:val="20"/>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落实政府采购政策需满足的资格要求</w:t>
      </w:r>
      <w:r>
        <w:rPr>
          <w:rFonts w:hint="eastAsia"/>
          <w:color w:val="000000"/>
          <w:sz w:val="24"/>
          <w:highlight w:val="none"/>
        </w:rPr>
      </w:r>
      <w:r/>
    </w:p>
    <w:p>
      <w:pPr>
        <w:pStyle w:val="1041"/>
        <w:rPr>
          <w:rFonts w:hint="eastAsia"/>
          <w:b/>
          <w:color w:val="000000"/>
          <w:highlight w:val="none"/>
        </w:rPr>
        <w:outlineLvl w:val="3"/>
      </w:pPr>
      <w:r>
        <w:rPr>
          <w:b/>
          <w:color w:val="000000"/>
          <w:highlight w:val="none"/>
        </w:rPr>
        <w:t xml:space="preserve">2-1 </w:t>
      </w:r>
      <w:r>
        <w:rPr>
          <w:rFonts w:hint="eastAsia"/>
          <w:b/>
          <w:color w:val="000000"/>
          <w:highlight w:val="none"/>
        </w:rPr>
        <w:t xml:space="preserve">营业执照</w:t>
      </w:r>
      <w:r>
        <w:rPr>
          <w:rFonts w:hint="eastAsia"/>
          <w:color w:val="000000"/>
          <w:sz w:val="24"/>
          <w:highlight w:val="none"/>
        </w:rPr>
        <w:t xml:space="preserve">（实质性格式）</w:t>
      </w:r>
      <w:r>
        <w:rPr>
          <w:rFonts w:hint="eastAsia"/>
          <w:b/>
          <w:color w:val="000000"/>
          <w:highlight w:val="none"/>
        </w:rPr>
      </w:r>
      <w:r/>
    </w:p>
    <w:p>
      <w:pPr>
        <w:pStyle w:val="1041"/>
        <w:rPr>
          <w:b/>
          <w:color w:val="000000"/>
          <w:highlight w:val="none"/>
        </w:rPr>
        <w:outlineLvl w:val="3"/>
      </w:pPr>
      <w:r>
        <w:rPr>
          <w:rFonts w:hint="eastAsia"/>
          <w:b/>
          <w:color w:val="000000"/>
          <w:highlight w:val="none"/>
        </w:rPr>
        <w:t xml:space="preserve">2-2</w:t>
      </w:r>
      <w:r>
        <w:rPr>
          <w:b/>
          <w:color w:val="000000"/>
          <w:highlight w:val="none"/>
        </w:rPr>
        <w:t xml:space="preserve">中小企业声明函</w:t>
      </w:r>
      <w:r>
        <w:rPr>
          <w:rFonts w:hint="eastAsia"/>
          <w:color w:val="000000"/>
          <w:sz w:val="24"/>
          <w:highlight w:val="none"/>
        </w:rPr>
        <w:t xml:space="preserve">（实质性格式）</w:t>
      </w:r>
      <w:r>
        <w:rPr>
          <w:b/>
          <w:color w:val="000000"/>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（1）本项目专门面向中小企业采购，须提供《中小企业声明函》（实质性格式）。</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（2）其它：中小企业参加政府采购活动，应当出具此格式文件。《中小企业声明函》由参加政府采购活动的供应商出具。</w:t>
      </w:r>
      <w:r>
        <w:rPr>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（3）中小企业认定标准以《关于印发中小企业划型标准规定的通知》（工信部联企业〔2011〕300号）文件规定为准。</w:t>
      </w:r>
      <w:r>
        <w:rPr>
          <w:rFonts w:hint="eastAsia"/>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ind w:right="360" w:firstLine="480"/>
        <w:jc w:val="right"/>
        <w:spacing w:line="360" w:lineRule="auto"/>
        <w:rPr>
          <w:rFonts w:hint="eastAsia" w:ascii="宋体" w:hAnsi="宋体" w:cs="宋体"/>
          <w:color w:val="000000"/>
          <w:szCs w:val="21"/>
          <w:highlight w:val="none"/>
        </w:rPr>
      </w:pPr>
      <w:r>
        <w:rPr>
          <w:color w:val="000000"/>
          <w:sz w:val="24"/>
          <w:highlight w:val="none"/>
        </w:rPr>
        <w:br w:type="page" w:clear="all"/>
      </w:r>
      <w:r>
        <w:rPr>
          <w:rFonts w:hint="eastAsia" w:ascii="宋体" w:hAnsi="宋体" w:cs="宋体"/>
          <w:color w:val="000000"/>
          <w:szCs w:val="21"/>
          <w:highlight w:val="none"/>
        </w:rPr>
      </w:r>
      <w:r/>
    </w:p>
    <w:p>
      <w:pPr>
        <w:pStyle w:val="1041"/>
        <w:jc w:val="center"/>
        <w:spacing w:before="240" w:after="240" w:line="360" w:lineRule="auto"/>
        <w:rPr>
          <w:rFonts w:ascii="方正小标宋简体" w:hAnsi="宋体" w:eastAsia="方正小标宋简体"/>
          <w:color w:val="000000"/>
          <w:sz w:val="44"/>
          <w:szCs w:val="44"/>
          <w:highlight w:val="none"/>
        </w:rPr>
      </w:pPr>
      <w:r>
        <w:rPr>
          <w:rFonts w:ascii="方正小标宋简体" w:hAnsi="宋体" w:eastAsia="方正小标宋简体"/>
          <w:color w:val="000000"/>
          <w:sz w:val="44"/>
          <w:szCs w:val="44"/>
          <w:highlight w:val="none"/>
        </w:rPr>
        <w:t xml:space="preserve">中小企业声明函</w:t>
      </w:r>
      <w:r>
        <w:rPr>
          <w:rFonts w:hint="eastAsia" w:ascii="方正小标宋简体" w:hAnsi="宋体" w:eastAsia="方正小标宋简体"/>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此处填供应商</w:t>
      </w:r>
      <w:r>
        <w:rPr>
          <w:color w:val="000000"/>
          <w:spacing w:val="6"/>
          <w:sz w:val="24"/>
          <w:highlight w:val="none"/>
          <w:u w:val="singl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常州青果招投标有限公司</w:t>
      </w:r>
      <w:r>
        <w:rPr>
          <w:rFonts w:hint="eastAsia" w:ascii="宋体" w:hAnsi="宋体" w:cs="宋体"/>
          <w:color w:val="000000"/>
          <w:sz w:val="24"/>
          <w:highlight w:val="none"/>
        </w:rPr>
        <w:t xml:space="preserve">组织的</w:t>
      </w:r>
      <w:r>
        <w:rPr>
          <w:rFonts w:hint="eastAsia" w:ascii="宋体" w:hAnsi="宋体" w:cs="宋体"/>
          <w:color w:val="000000"/>
          <w:sz w:val="24"/>
          <w:highlight w:val="none"/>
          <w:u w:val="single"/>
        </w:rPr>
        <w:t xml:space="preserve">（采购单位名称①）</w:t>
      </w:r>
      <w:r>
        <w:rPr>
          <w:rFonts w:hint="eastAsia" w:ascii="宋体" w:hAnsi="宋体" w:cs="宋体"/>
          <w:color w:val="000000"/>
          <w:sz w:val="24"/>
          <w:highlight w:val="none"/>
        </w:rPr>
        <w:t xml:space="preserve">采购编号为</w:t>
      </w:r>
      <w:r>
        <w:rPr>
          <w:rFonts w:hint="eastAsia" w:ascii="宋体" w:hAnsi="宋体" w:cs="宋体"/>
          <w:color w:val="000000"/>
          <w:sz w:val="24"/>
          <w:highlight w:val="none"/>
          <w:u w:val="single"/>
        </w:rPr>
        <w:t xml:space="preserve">②</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（项目名称③）（分包号：④）</w:t>
      </w:r>
      <w:r>
        <w:rPr>
          <w:rFonts w:hint="eastAsia"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cs="宋体"/>
          <w:color w:val="000000"/>
          <w:sz w:val="24"/>
          <w:highlight w:val="none"/>
        </w:rPr>
      </w:r>
      <w:r/>
    </w:p>
    <w:p>
      <w:pPr>
        <w:pStyle w:val="1041"/>
        <w:ind w:firstLine="360"/>
        <w:spacing w:line="570" w:lineRule="exact"/>
        <w:rPr>
          <w:rFonts w:hint="eastAsia" w:ascii="宋体" w:hAnsi="宋体" w:cs="宋体"/>
          <w:i/>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（标的名称⑤）</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（采购文件中明确的所属行业⑥）</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（企业名称⑦）</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⑧</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⑨</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⑩</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（中型企业、小型企业、微型企业⑪）；</w:t>
      </w:r>
      <w:r>
        <w:rPr>
          <w:rFonts w:hint="eastAsia" w:ascii="宋体" w:hAnsi="宋体" w:cs="宋体"/>
          <w:i/>
          <w:color w:val="000000"/>
          <w:sz w:val="24"/>
          <w:highlight w:val="none"/>
          <w:u w:val="singl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企业名称（加盖CA电子公章）⑫：</w:t>
      </w:r>
      <w:r>
        <w:rPr>
          <w:rFonts w:hint="eastAsia" w:ascii="宋体" w:hAnsi="宋体" w:cs="宋体"/>
          <w:color w:val="000000"/>
          <w:sz w:val="24"/>
          <w:highlight w:val="none"/>
        </w:rPr>
      </w:r>
      <w:r/>
    </w:p>
    <w:p>
      <w:pPr>
        <w:pStyle w:val="1041"/>
        <w:ind w:right="480" w:firstLine="588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1041"/>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57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1"/>
        <w:spacing w:line="570" w:lineRule="exact"/>
        <w:rPr>
          <w:rFonts w:hint="eastAsia" w:ascii="宋体" w:hAnsi="宋体" w:cs="宋体"/>
          <w:color w:val="000000"/>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1.（采购单位名称①）：填写本项目采购人单位名称，如常州市XXX局。</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2.采购编号为②：填写本项目编号，如JSZC-3204XX-SYZB-C20XX-XX。</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3.（项目名称③）：填写本项目名称，如常州市XXX项目。</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4.（分包号：④）：填写分包编号，如有分包的，分别填写分包号，没有的填“无”。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5.（标的名称⑤）：填写本项目标的名称，如XX服务等。</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6.（采购文件中明确的所属行业⑥）：填写本项目采购标的所属行业。须根据采购文件“第二章  供应商须知”表格中列明的所属行业进行填写。如：建筑业。</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7.（企业名称⑦）：填写</w:t>
      </w:r>
      <w:r>
        <w:rPr>
          <w:rFonts w:hint="eastAsia" w:ascii="宋体" w:hAnsi="宋体" w:cs="宋体"/>
          <w:b/>
          <w:bCs/>
          <w:color w:val="000000"/>
          <w:sz w:val="24"/>
          <w:highlight w:val="none"/>
        </w:rPr>
        <w:t xml:space="preserve">供应商或供应商的名称</w:t>
      </w:r>
      <w:r>
        <w:rPr>
          <w:rFonts w:hint="eastAsia" w:ascii="宋体" w:hAnsi="宋体" w:cs="宋体"/>
          <w:color w:val="000000"/>
          <w:sz w:val="24"/>
          <w:highlight w:val="none"/>
        </w:rPr>
        <w:t xml:space="preserve">，如XXX公司。</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8.从业人员⑧人，营业收入为⑨万元，资产总额为⑩万元：填报</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的从业人员、营业收入、资产总额上一年度数据，无上一年度数据的新成立企业可不填报。</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9.（中型企业、小型企业、微型企业</w:t>
      </w:r>
      <w:r>
        <w:rPr>
          <w:rFonts w:hint="eastAsia" w:ascii="宋体" w:hAnsi="宋体" w:cs="宋体"/>
          <w:color w:val="000000"/>
          <w:sz w:val="24"/>
          <w:highlight w:val="none"/>
          <w:u w:val="single"/>
        </w:rPr>
        <w:t xml:space="preserve">⑪</w:t>
      </w:r>
      <w:r>
        <w:rPr>
          <w:rFonts w:hint="eastAsia" w:ascii="宋体" w:hAnsi="宋体" w:cs="宋体"/>
          <w:color w:val="000000"/>
          <w:sz w:val="24"/>
          <w:highlight w:val="none"/>
        </w:rPr>
        <w:t xml:space="preserve">）：根据</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的企业规模情况填写中型企业、小型企业或微型企业</w:t>
      </w:r>
      <w:r>
        <w:rPr>
          <w:rFonts w:hint="eastAsia" w:ascii="宋体" w:hAnsi="宋体" w:cs="宋体"/>
          <w:b/>
          <w:bCs/>
          <w:color w:val="000000"/>
          <w:sz w:val="24"/>
          <w:highlight w:val="none"/>
        </w:rPr>
        <w:t xml:space="preserve">（只能填写三种其中的一种）</w:t>
      </w:r>
      <w:r>
        <w:rPr>
          <w:rFonts w:hint="eastAsia" w:ascii="宋体" w:hAnsi="宋体" w:cs="宋体"/>
          <w:color w:val="000000"/>
          <w:sz w:val="24"/>
          <w:highlight w:val="none"/>
        </w:rPr>
        <w:t xml:space="preserve">。中小企业划分见《关于印发中小企业划型标准规定的通知》（工信部联企业〔2011〕300号) 。</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10.企业名称（盖章）⑫：加盖</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CA电子公章。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11.如是</w:t>
      </w:r>
      <w:r>
        <w:rPr>
          <w:rFonts w:hint="eastAsia" w:ascii="宋体" w:hAnsi="宋体" w:cs="宋体"/>
          <w:b/>
          <w:color w:val="000000"/>
          <w:sz w:val="24"/>
          <w:highlight w:val="none"/>
        </w:rPr>
        <w:t xml:space="preserve">专门面向中小企业预留份额</w:t>
      </w:r>
      <w:r>
        <w:rPr>
          <w:rFonts w:hint="eastAsia" w:ascii="宋体" w:hAnsi="宋体" w:cs="宋体"/>
          <w:color w:val="000000"/>
          <w:sz w:val="24"/>
          <w:highlight w:val="none"/>
        </w:rPr>
        <w:t xml:space="preserve">的采购项目，供应商未提供此声明函的，资格审查不予通过，作为</w:t>
      </w:r>
      <w:r>
        <w:rPr>
          <w:rFonts w:hint="eastAsia" w:ascii="宋体" w:hAnsi="宋体" w:cs="宋体"/>
          <w:b/>
          <w:color w:val="000000"/>
          <w:sz w:val="24"/>
          <w:highlight w:val="none"/>
        </w:rPr>
        <w:t xml:space="preserve">无效投标（响应）</w:t>
      </w:r>
      <w:r>
        <w:rPr>
          <w:rFonts w:hint="eastAsia" w:ascii="宋体" w:hAnsi="宋体" w:cs="宋体"/>
          <w:color w:val="000000"/>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color w:val="000000"/>
          <w:sz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12.温馨提示</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3）供应商提供第三方（如制造商）书面声明、检测报告等资料作为响应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（4）对于采购文件确实允许非独立法人参与采购活动的，应按其所属集团公司合并财务报表数据情况予以填报。</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color w:val="000000"/>
          <w:sz w:val="24"/>
          <w:szCs w:val="24"/>
          <w:highlight w:val="none"/>
        </w:rPr>
      </w:r>
      <w:r/>
    </w:p>
    <w:p>
      <w:pPr>
        <w:pStyle w:val="1041"/>
        <w:jc w:val="center"/>
        <w:rPr>
          <w:b/>
          <w:color w:val="000000"/>
          <w:sz w:val="36"/>
          <w:szCs w:val="36"/>
          <w:highlight w:val="none"/>
        </w:rPr>
      </w:pPr>
      <w:r>
        <w:rPr>
          <w:color w:val="000000"/>
          <w:sz w:val="24"/>
          <w:szCs w:val="20"/>
          <w:highlight w:val="none"/>
        </w:rPr>
        <w:br w:type="page" w:clear="all"/>
      </w: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4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4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104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pacing w:val="6"/>
          <w:sz w:val="24"/>
          <w:highlight w:val="none"/>
        </w:rPr>
      </w:r>
      <w:r/>
    </w:p>
    <w:p>
      <w:pPr>
        <w:pStyle w:val="1041"/>
        <w:numPr>
          <w:ilvl w:val="0"/>
          <w:numId w:val="20"/>
        </w:numPr>
        <w:ind w:left="901" w:hanging="901"/>
        <w:spacing w:line="360" w:lineRule="auto"/>
        <w:tabs>
          <w:tab w:val="left" w:pos="360" w:leader="none"/>
          <w:tab w:val="left" w:pos="900" w:leader="none"/>
        </w:tabs>
        <w:rPr>
          <w:color w:val="000000"/>
          <w:sz w:val="24"/>
          <w:highlight w:val="none"/>
        </w:rPr>
        <w:outlineLvl w:val="2"/>
      </w:pPr>
      <w:r>
        <w:rPr>
          <w:color w:val="000000"/>
          <w:sz w:val="24"/>
          <w:szCs w:val="20"/>
          <w:highlight w:val="none"/>
        </w:rPr>
        <w:br w:type="page" w:clear="all"/>
      </w:r>
      <w:bookmarkStart w:id="649" w:name="_Toc195842922"/>
      <w:r/>
      <w:bookmarkStart w:id="650" w:name="_Toc226309801"/>
      <w:r/>
      <w:bookmarkStart w:id="651" w:name="_Toc226337253"/>
      <w:r/>
      <w:bookmarkStart w:id="652" w:name="_Toc520356218"/>
      <w:r/>
      <w:bookmarkStart w:id="653" w:name="_Toc305158825"/>
      <w:r/>
      <w:bookmarkStart w:id="654" w:name="_Toc226965747"/>
      <w:r/>
      <w:bookmarkStart w:id="655" w:name="_Toc150480795"/>
      <w:r/>
      <w:bookmarkStart w:id="656" w:name="_Toc127151557"/>
      <w:r/>
      <w:bookmarkStart w:id="657" w:name="_Toc305158899"/>
      <w:r/>
      <w:bookmarkStart w:id="658" w:name="_Toc150774762"/>
      <w:r/>
      <w:bookmarkStart w:id="659" w:name="_Toc265228395"/>
      <w:r/>
      <w:bookmarkStart w:id="660" w:name="_Ref467988705"/>
      <w:r/>
      <w:bookmarkStart w:id="661" w:name="_Toc226965830"/>
      <w:r/>
      <w:bookmarkStart w:id="662" w:name="_Toc480942350"/>
      <w:r/>
      <w:bookmarkStart w:id="663" w:name="_Toc264969247"/>
      <w:r/>
      <w:bookmarkStart w:id="664" w:name="_Toc142311059"/>
      <w:r>
        <w:rPr>
          <w:rFonts w:hint="eastAsia"/>
          <w:color w:val="000000"/>
          <w:sz w:val="24"/>
          <w:highlight w:val="none"/>
        </w:rPr>
        <w:t xml:space="preserve">本项目的特定资格要求</w:t>
      </w:r>
      <w:r>
        <w:rPr>
          <w:color w:val="000000"/>
          <w:sz w:val="24"/>
          <w:highlight w:val="none"/>
        </w:rPr>
      </w:r>
      <w:r/>
    </w:p>
    <w:p>
      <w:pPr>
        <w:pStyle w:val="1041"/>
        <w:jc w:val="left"/>
        <w:widowControl/>
        <w:rPr>
          <w:b/>
          <w:color w:val="000000"/>
          <w:highlight w:val="none"/>
        </w:rPr>
        <w:outlineLvl w:val="3"/>
      </w:pPr>
      <w:r>
        <w:rPr>
          <w:b/>
          <w:color w:val="000000"/>
          <w:highlight w:val="none"/>
        </w:rPr>
        <w:t xml:space="preserve">3-1其他特定资格要求</w:t>
      </w:r>
      <w:r>
        <w:rPr>
          <w:rFonts w:hint="eastAsia"/>
          <w:color w:val="000000"/>
          <w:sz w:val="24"/>
          <w:highlight w:val="none"/>
        </w:rPr>
        <w:t xml:space="preserve">（实质性格式）</w:t>
      </w:r>
      <w:r>
        <w:rPr>
          <w:b/>
          <w:color w:val="000000"/>
          <w:highlight w:val="none"/>
        </w:rPr>
      </w:r>
      <w:r/>
    </w:p>
    <w:p>
      <w:pPr>
        <w:pStyle w:val="1041"/>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u w:val="single"/>
          <w:lang w:val="en-US" w:eastAsia="zh-CN"/>
        </w:rPr>
      </w:pPr>
      <w:r>
        <w:rPr>
          <w:rFonts w:hint="eastAsia" w:ascii="宋体" w:hAnsi="宋体" w:cs="宋体"/>
          <w:b/>
          <w:bCs/>
          <w:color w:val="000000"/>
          <w:sz w:val="24"/>
          <w:highlight w:val="none"/>
          <w:u w:val="single"/>
          <w:lang w:val="en-US" w:eastAsia="zh-CN"/>
        </w:rPr>
      </w:r>
      <w:r/>
    </w:p>
    <w:p>
      <w:pPr>
        <w:pStyle w:val="1041"/>
        <w:ind w:firstLine="3614"/>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u w:val="single"/>
        </w:rPr>
      </w:pPr>
      <w:r>
        <w:rPr>
          <w:rFonts w:hint="eastAsia" w:ascii="宋体" w:hAnsi="宋体" w:cs="宋体"/>
          <w:b/>
          <w:bCs/>
          <w:color w:val="000000"/>
          <w:sz w:val="24"/>
          <w:highlight w:val="none"/>
          <w:u w:val="single"/>
          <w:lang w:val="en-US" w:eastAsia="zh-CN"/>
        </w:rPr>
        <w:t xml:space="preserve">详见第一章采购邀请要求</w:t>
      </w:r>
      <w:r>
        <w:rPr>
          <w:rFonts w:ascii="宋体" w:hAnsi="宋体" w:cs="宋体"/>
          <w:color w:val="000000"/>
          <w:sz w:val="24"/>
          <w:highlight w:val="none"/>
          <w:u w:val="singl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响应函（实质性格式）</w:t>
      </w:r>
      <w:r>
        <w:rPr>
          <w:color w:val="000000"/>
          <w:sz w:val="24"/>
          <w:szCs w:val="20"/>
          <w:highlight w:val="none"/>
        </w:rPr>
      </w:r>
      <w:r/>
    </w:p>
    <w:p>
      <w:pPr>
        <w:pStyle w:val="1041"/>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4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41"/>
        <w:spacing w:line="360" w:lineRule="auto"/>
        <w:tabs>
          <w:tab w:val="left" w:pos="5580" w:leader="none"/>
        </w:tabs>
        <w:rPr>
          <w:color w:val="000000"/>
          <w:sz w:val="24"/>
          <w:szCs w:val="20"/>
          <w:highlight w:val="none"/>
        </w:rPr>
      </w:pP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rPr>
        <w:t xml:space="preserve">天</w:t>
      </w:r>
      <w:r>
        <w:rPr>
          <w:color w:val="000000"/>
          <w:sz w:val="24"/>
          <w:szCs w:val="20"/>
          <w:highlight w:val="none"/>
        </w:rPr>
        <w:t xml:space="preserve">。</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4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41"/>
        <w:ind w:firstLine="420"/>
        <w:spacing w:line="360" w:lineRule="auto"/>
        <w:tabs>
          <w:tab w:val="left" w:pos="5580" w:leader="none"/>
        </w:tabs>
        <w:rPr>
          <w:color w:val="000000"/>
          <w:sz w:val="24"/>
          <w:highlight w:val="none"/>
        </w:rPr>
      </w:pPr>
      <w:r>
        <w:rPr>
          <w:color w:val="000000"/>
          <w:sz w:val="24"/>
          <w:szCs w:val="20"/>
          <w:highlight w:val="none"/>
        </w:rPr>
        <w:t xml:space="preserve">（4）如我方</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104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4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4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bookmarkStart w:id="665" w:name="_Hlt520355938"/>
      <w:r/>
      <w:bookmarkEnd w:id="665"/>
      <w:r/>
      <w:bookmarkStart w:id="666" w:name="_Hlt520356243"/>
      <w:r/>
      <w:bookmarkEnd w:id="666"/>
      <w:r>
        <w:rPr>
          <w:color w:val="000000"/>
          <w:sz w:val="24"/>
          <w:highlight w:val="none"/>
        </w:rPr>
        <w:br w:type="page" w:clear="all"/>
      </w:r>
      <w:r>
        <w:rPr>
          <w:rFonts w:hint="eastAsia"/>
          <w:color w:val="000000"/>
          <w:sz w:val="24"/>
          <w:highlight w:val="none"/>
        </w:rPr>
        <w:t xml:space="preserve">法定代表人资格证明书（实质性格式） </w:t>
      </w:r>
      <w:r>
        <w:rPr>
          <w:rFonts w:hint="eastAsia"/>
          <w:color w:val="000000"/>
          <w:sz w:val="24"/>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上述项目的磋商响应文件、进行合同谈判、签署合同和处理与之有关的一切事务。</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ascii="宋体" w:hAnsi="宋体"/>
          <w:color w:val="000000"/>
          <w:sz w:val="24"/>
          <w:highlight w:val="none"/>
        </w:rPr>
      </w:r>
      <w:r/>
    </w:p>
    <w:p>
      <w:pPr>
        <w:pStyle w:val="107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4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41"/>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73"/>
        <w:tabs>
          <w:tab w:val="left" w:pos="567" w:leader="none"/>
        </w:tabs>
        <w:rPr>
          <w:color w:val="000000"/>
          <w:highlight w:val="none"/>
        </w:rPr>
      </w:pPr>
      <w:r>
        <w:rPr>
          <w:color w:val="000000"/>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授权委托书（实质性格式）</w:t>
      </w:r>
      <w:r>
        <w:rPr>
          <w:rFonts w:hint="eastAsia"/>
          <w:color w:val="000000"/>
          <w:sz w:val="24"/>
          <w:highlight w:val="none"/>
        </w:rPr>
      </w:r>
      <w:r/>
    </w:p>
    <w:p>
      <w:pPr>
        <w:pStyle w:val="1191"/>
        <w:jc w:val="center"/>
        <w:spacing w:line="360" w:lineRule="exact"/>
        <w:rPr>
          <w:rFonts w:hint="eastAsia" w:cs="宋体"/>
          <w:b/>
          <w:color w:val="000000"/>
          <w:sz w:val="24"/>
          <w:szCs w:val="24"/>
          <w:highlight w:val="none"/>
        </w:rPr>
      </w:pPr>
      <w:r>
        <w:rPr>
          <w:rFonts w:hint="eastAsia" w:cs="宋体"/>
          <w:b/>
          <w:color w:val="000000"/>
          <w:sz w:val="24"/>
          <w:szCs w:val="24"/>
          <w:highlight w:val="none"/>
        </w:rPr>
        <w:t xml:space="preserve">授权委托书</w:t>
      </w:r>
      <w:r>
        <w:rPr>
          <w:rFonts w:hint="eastAsia" w:cs="宋体"/>
          <w:b/>
          <w:color w:val="000000"/>
          <w:sz w:val="24"/>
          <w:szCs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系_________________（供应商名称）的法定代表人（或单位负责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highlight w:val="none"/>
        </w:rPr>
      </w:r>
      <w:r/>
    </w:p>
    <w:p>
      <w:pPr>
        <w:pStyle w:val="1041"/>
        <w:ind w:firstLine="39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本授权书于__________年_______月________日签字或盖章后生效，特此声明。</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法定代表人（或单位负责人）签字或盖章：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委托代理人（被授权人）签字或盖章：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供应商公章： </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                                       邮编：</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（双面复印件）粘贴处</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1、法定代表人参加谈判时，需携带本人身份证原件。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2、委托代理人参加谈判时，需携带授权委托书和本人身份证原件。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3.若供应商为分支机构投标的，授权人可为单位负责人。</w:t>
      </w:r>
      <w:r>
        <w:rPr>
          <w:rFonts w:hint="eastAsia" w:ascii="宋体" w:hAnsi="宋体" w:cs="宋体"/>
          <w:color w:val="000000"/>
          <w:sz w:val="24"/>
          <w:highlight w:val="none"/>
        </w:rPr>
      </w:r>
      <w:r/>
    </w:p>
    <w:p>
      <w:pPr>
        <w:pStyle w:val="1041"/>
        <w:jc w:val="left"/>
        <w:spacing w:line="0" w:lineRule="atLeast"/>
        <w:widowControl/>
        <w:tabs>
          <w:tab w:val="left" w:pos="360" w:leader="none"/>
        </w:tabs>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rFonts w:hint="eastAsia"/>
          <w:color w:val="000000"/>
          <w:sz w:val="24"/>
          <w:highlight w:val="none"/>
        </w:rPr>
        <w:br w:type="page" w:clear="all"/>
      </w:r>
      <w:r>
        <w:rPr>
          <w:rFonts w:hint="eastAsia"/>
          <w:color w:val="000000"/>
          <w:sz w:val="24"/>
          <w:highlight w:val="none"/>
        </w:rPr>
        <w:t xml:space="preserve">政府采购供应商信用承诺书 （实质性格式）</w:t>
      </w:r>
      <w:r>
        <w:rPr>
          <w:rFonts w:hint="eastAsia"/>
          <w:color w:val="000000"/>
          <w:sz w:val="24"/>
          <w:highlight w:val="none"/>
        </w:rPr>
      </w:r>
      <w:r/>
    </w:p>
    <w:p>
      <w:pPr>
        <w:pStyle w:val="1041"/>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41"/>
        <w:ind w:firstLine="640"/>
        <w:rPr>
          <w:color w:val="000000"/>
          <w:highlight w:val="none"/>
        </w:rPr>
      </w:pPr>
      <w:r>
        <w:rPr>
          <w:color w:val="000000"/>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4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报价一览表</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color w:val="000000"/>
          <w:sz w:val="24"/>
          <w:highlight w:val="none"/>
        </w:rPr>
        <w:t xml:space="preserve">（实质性格式）</w:t>
      </w:r>
      <w:r>
        <w:rPr>
          <w:color w:val="000000"/>
          <w:sz w:val="24"/>
          <w:szCs w:val="20"/>
          <w:highlight w:val="none"/>
        </w:rPr>
      </w:r>
      <w:r/>
    </w:p>
    <w:p>
      <w:pPr>
        <w:pStyle w:val="1041"/>
        <w:jc w:val="center"/>
        <w:rPr>
          <w:b/>
          <w:color w:val="000000"/>
          <w:sz w:val="36"/>
          <w:szCs w:val="36"/>
          <w:highlight w:val="none"/>
        </w:rPr>
      </w:pPr>
      <w:r/>
      <w:bookmarkStart w:id="667" w:name="_Toc226965748"/>
      <w:r/>
      <w:bookmarkStart w:id="668" w:name="_Toc226337254"/>
      <w:r/>
      <w:bookmarkStart w:id="669" w:name="_Toc226309802"/>
      <w:r/>
      <w:bookmarkStart w:id="670" w:name="_Toc305158826"/>
      <w:r/>
      <w:bookmarkStart w:id="671" w:name="_Toc164608827"/>
      <w:r/>
      <w:bookmarkStart w:id="672" w:name="_Toc195842923"/>
      <w:r/>
      <w:bookmarkStart w:id="673" w:name="_Toc226965831"/>
      <w:r/>
      <w:bookmarkStart w:id="674" w:name="_Toc305158900"/>
      <w:r/>
      <w:bookmarkStart w:id="675" w:name="_Toc265228396"/>
      <w:r/>
      <w:bookmarkStart w:id="676" w:name="_Toc264969248"/>
      <w:r/>
      <w:bookmarkStart w:id="677" w:name="_Toc164608672"/>
      <w:r>
        <w:rPr>
          <w:rFonts w:hint="eastAsia"/>
          <w:b/>
          <w:color w:val="000000"/>
          <w:sz w:val="36"/>
          <w:szCs w:val="36"/>
          <w:highlight w:val="none"/>
        </w:rPr>
        <w:t xml:space="preserve">报价一览表</w:t>
      </w:r>
      <w:bookmarkEnd w:id="667"/>
      <w:r/>
      <w:bookmarkEnd w:id="668"/>
      <w:r/>
      <w:bookmarkEnd w:id="669"/>
      <w:r/>
      <w:bookmarkEnd w:id="670"/>
      <w:r/>
      <w:bookmarkEnd w:id="671"/>
      <w:r/>
      <w:bookmarkEnd w:id="672"/>
      <w:r/>
      <w:bookmarkEnd w:id="673"/>
      <w:r/>
      <w:bookmarkEnd w:id="674"/>
      <w:r/>
      <w:bookmarkEnd w:id="675"/>
      <w:r/>
      <w:bookmarkEnd w:id="676"/>
      <w:r/>
      <w:bookmarkEnd w:id="677"/>
      <w:r>
        <w:rPr>
          <w:b/>
          <w:color w:val="000000"/>
          <w:sz w:val="36"/>
          <w:szCs w:val="36"/>
          <w:highlight w:val="none"/>
        </w:rPr>
      </w:r>
      <w:r/>
    </w:p>
    <w:p>
      <w:pPr>
        <w:pStyle w:val="1041"/>
        <w:jc w:val="left"/>
        <w:spacing w:line="360" w:lineRule="auto"/>
        <w:tabs>
          <w:tab w:val="left" w:pos="1800" w:leader="none"/>
          <w:tab w:val="left" w:pos="5580" w:leader="none"/>
        </w:tabs>
        <w:rPr>
          <w:color w:val="000000"/>
          <w:sz w:val="24"/>
          <w:highlight w:val="none"/>
        </w:rPr>
      </w:pPr>
      <w:r/>
      <w:bookmarkStart w:id="678" w:name="_Toc264969252"/>
      <w:r/>
      <w:bookmarkStart w:id="679" w:name="_Toc305158904"/>
      <w:r/>
      <w:bookmarkStart w:id="680" w:name="_Toc305158830"/>
      <w:r/>
      <w:bookmarkStart w:id="681" w:name="_Toc226965835"/>
      <w:r/>
      <w:bookmarkStart w:id="682" w:name="_Toc142311062"/>
      <w:r/>
      <w:bookmarkStart w:id="683" w:name="_Toc150480798"/>
      <w:r/>
      <w:bookmarkStart w:id="684" w:name="_Toc226337258"/>
      <w:r/>
      <w:bookmarkStart w:id="685" w:name="_Toc150774765"/>
      <w:r/>
      <w:bookmarkStart w:id="686" w:name="_Toc226965752"/>
      <w:r/>
      <w:bookmarkStart w:id="687" w:name="_Toc195842927"/>
      <w:r/>
      <w:bookmarkStart w:id="688" w:name="_Toc226309806"/>
      <w:r/>
      <w:bookmarkStart w:id="689" w:name="_Toc265228400"/>
      <w:r/>
      <w:bookmarkStart w:id="690" w:name="_Toc127151562"/>
      <w:r/>
      <w:bookmarkStart w:id="691" w:name="_Toc142311061"/>
      <w:r/>
      <w:bookmarkStart w:id="692" w:name="_Toc226309805"/>
      <w:r/>
      <w:bookmarkStart w:id="693" w:name="_Toc226337257"/>
      <w:r/>
      <w:bookmarkStart w:id="694" w:name="_Toc264969251"/>
      <w:r/>
      <w:bookmarkStart w:id="695" w:name="_Toc305158829"/>
      <w:r/>
      <w:bookmarkStart w:id="696" w:name="_Toc305158903"/>
      <w:r/>
      <w:bookmarkStart w:id="697" w:name="_Toc265228399"/>
      <w:r/>
      <w:bookmarkStart w:id="698" w:name="_Toc226965751"/>
      <w:r/>
      <w:bookmarkStart w:id="699" w:name="_Toc226965834"/>
      <w:r/>
      <w:bookmarkStart w:id="700" w:name="_Toc150774764"/>
      <w:r/>
      <w:bookmarkStart w:id="701" w:name="_Toc127151561"/>
      <w:r/>
      <w:bookmarkStart w:id="702" w:name="_Toc195842926"/>
      <w:r/>
      <w:bookmarkStart w:id="703" w:name="_Toc150480797"/>
      <w:r>
        <w:rPr>
          <w:color w:val="000000"/>
          <w:sz w:val="24"/>
          <w:highlight w:val="none"/>
        </w:rPr>
      </w:r>
      <w:r/>
    </w:p>
    <w:p>
      <w:pPr>
        <w:pStyle w:val="104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p>
      <w:pPr>
        <w:pStyle w:val="1041"/>
        <w:jc w:val="left"/>
        <w:rPr>
          <w:color w:val="000000"/>
          <w:sz w:val="24"/>
          <w:highlight w:val="none"/>
        </w:rPr>
      </w:pPr>
      <w:r>
        <w:rPr>
          <w:color w:val="000000"/>
          <w:sz w:val="24"/>
          <w:highlight w:val="none"/>
        </w:rPr>
      </w:r>
      <w:r/>
    </w:p>
    <w:tbl>
      <w:tblPr>
        <w:tblW w:w="424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77"/>
        <w:gridCol w:w="2284"/>
        <w:gridCol w:w="2323"/>
        <w:gridCol w:w="2290"/>
      </w:tblGrid>
      <w:tr>
        <w:trPr>
          <w:trHeight w:val="531"/>
        </w:trPr>
        <w:tc>
          <w:tcPr>
            <w:tcW w:w="832"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80"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140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投标报价（元）</w:t>
            </w:r>
            <w:r>
              <w:rPr>
                <w:b/>
                <w:color w:val="000000"/>
                <w:sz w:val="24"/>
                <w:highlight w:val="none"/>
              </w:rPr>
            </w:r>
            <w:r/>
          </w:p>
        </w:tc>
        <w:tc>
          <w:tcPr>
            <w:tcW w:w="138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项目负责人</w:t>
            </w:r>
            <w:r>
              <w:rPr>
                <w:b/>
                <w:color w:val="000000"/>
                <w:sz w:val="24"/>
                <w:highlight w:val="none"/>
              </w:rPr>
            </w:r>
            <w:r/>
          </w:p>
        </w:tc>
      </w:tr>
      <w:tr>
        <w:trPr>
          <w:trHeight w:val="1090"/>
        </w:trPr>
        <w:tc>
          <w:tcPr>
            <w:tcW w:w="832"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380"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40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c>
          <w:tcPr>
            <w:tcW w:w="138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r>
    </w:tbl>
    <w:p>
      <w:pPr>
        <w:pStyle w:val="1041"/>
        <w:spacing w:before="25" w:after="25"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spacing w:before="25" w:after="25"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w:t>
      </w:r>
      <w:r>
        <w:rPr>
          <w:rFonts w:ascii="宋体" w:hAnsi="宋体" w:cs="宋体"/>
          <w:b/>
          <w:bCs/>
          <w:color w:val="000000"/>
          <w:sz w:val="24"/>
          <w:highlight w:val="none"/>
        </w:rPr>
        <w:t xml:space="preserve">最多保留两位小数。</w:t>
      </w:r>
      <w:r>
        <w:rPr>
          <w:rFonts w:ascii="宋体" w:hAnsi="宋体" w:cs="宋体"/>
          <w:b/>
          <w:bCs/>
          <w:color w:val="000000"/>
          <w:sz w:val="24"/>
          <w:highlight w:val="none"/>
        </w:rPr>
      </w:r>
      <w:r/>
    </w:p>
    <w:p>
      <w:pPr>
        <w:pStyle w:val="1041"/>
        <w:spacing w:before="25" w:after="25" w:line="360" w:lineRule="auto"/>
        <w:rPr>
          <w:color w:val="000000"/>
          <w:sz w:val="24"/>
          <w:highlight w:val="none"/>
        </w:rPr>
      </w:pPr>
      <w:r>
        <w:rPr>
          <w:rFonts w:hint="eastAsia" w:ascii="宋体" w:hAnsi="宋体" w:cs="宋体"/>
          <w:b/>
          <w:bCs/>
          <w:color w:val="000000"/>
          <w:sz w:val="24"/>
          <w:highlight w:val="none"/>
        </w:rPr>
        <w:t xml:space="preserve">2.二次报价即最终报价，系统里填报最终报价。</w:t>
      </w:r>
      <w:r>
        <w:rPr>
          <w:color w:val="000000"/>
          <w:sz w:val="24"/>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jc w:val="left"/>
        <w:widowControl/>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lang w:val="en-US" w:eastAsia="zh-CN"/>
        </w:rPr>
        <w:t xml:space="preserve">工程量清单</w:t>
      </w:r>
      <w:r>
        <w:rPr>
          <w:rFonts w:hint="eastAsia"/>
          <w:color w:val="000000"/>
          <w:sz w:val="24"/>
          <w:highlight w:val="none"/>
        </w:rPr>
        <w:t xml:space="preserve">（实质性格式）</w:t>
      </w:r>
      <w:r>
        <w:rPr>
          <w:color w:val="000000"/>
          <w:sz w:val="24"/>
          <w:szCs w:val="20"/>
          <w:highlight w:val="none"/>
        </w:rPr>
      </w:r>
      <w:r/>
    </w:p>
    <w:p>
      <w:pPr>
        <w:pStyle w:val="1041"/>
        <w:jc w:val="center"/>
        <w:rPr>
          <w:rFonts w:eastAsia="宋体"/>
          <w:b/>
          <w:color w:val="000000"/>
          <w:sz w:val="36"/>
          <w:szCs w:val="36"/>
          <w:highlight w:val="none"/>
          <w:lang w:val="en-US" w:eastAsia="zh-CN"/>
        </w:rPr>
      </w:pPr>
      <w:r>
        <w:rPr>
          <w:rFonts w:hint="eastAsia"/>
          <w:b/>
          <w:color w:val="000000"/>
          <w:sz w:val="36"/>
          <w:szCs w:val="36"/>
          <w:highlight w:val="none"/>
          <w:lang w:val="en-US" w:eastAsia="zh-CN"/>
        </w:rPr>
        <w:t xml:space="preserve">详见控制价清单</w:t>
      </w:r>
      <w:r>
        <w:rPr>
          <w:rFonts w:eastAsia="宋体"/>
          <w:b/>
          <w:color w:val="000000"/>
          <w:sz w:val="36"/>
          <w:szCs w:val="36"/>
          <w:highlight w:val="none"/>
          <w:lang w:val="en-US" w:eastAsia="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合同条款偏离表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color w:val="000000"/>
          <w:sz w:val="24"/>
          <w:highlight w:val="none"/>
        </w:rPr>
        <w:t xml:space="preserve">（实质性格式）</w:t>
      </w:r>
      <w:r>
        <w:rPr>
          <w:color w:val="000000"/>
          <w:sz w:val="24"/>
          <w:szCs w:val="20"/>
          <w:highlight w:val="none"/>
        </w:rPr>
      </w:r>
      <w:r/>
    </w:p>
    <w:p>
      <w:pPr>
        <w:pStyle w:val="1041"/>
        <w:spacing w:line="360" w:lineRule="auto"/>
        <w:rPr>
          <w:color w:val="000000"/>
          <w:sz w:val="24"/>
          <w:szCs w:val="20"/>
          <w:highlight w:val="none"/>
        </w:rPr>
      </w:pP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spacing w:line="360" w:lineRule="auto"/>
        <w:rPr>
          <w:color w:val="000000"/>
          <w:sz w:val="24"/>
          <w:szCs w:val="20"/>
          <w:highlight w:val="none"/>
        </w:rPr>
      </w:pPr>
      <w:r>
        <w:rPr>
          <w:color w:val="000000"/>
          <w:sz w:val="24"/>
          <w:szCs w:val="20"/>
          <w:highlight w:val="none"/>
        </w:rPr>
      </w:r>
      <w:r/>
    </w:p>
    <w:p>
      <w:pPr>
        <w:pStyle w:val="1041"/>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041"/>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4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4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41"/>
        <w:spacing w:line="360" w:lineRule="auto"/>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color w:val="000000"/>
          <w:sz w:val="24"/>
          <w:highlight w:val="none"/>
        </w:rPr>
        <w:t xml:space="preserve">采购需求偏离表（实质性格式）</w:t>
      </w: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项目实施方案等，包括但不限于如下主题：</w:t>
      </w:r>
      <w:r>
        <w:rPr>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（1）总体概述；</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（2）实施方案；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（3）进度、质量保证措施方案；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（4）劳动力、机械设备和材料投入计划；</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（5）关键施工技术、工艺及工程项目实施的重点、难点和解决方案；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（6）后期服务方案；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（7）其他。</w:t>
      </w:r>
      <w:r>
        <w:rPr>
          <w:rFonts w:hint="eastAsia"/>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参加本项目人员一览表</w:t>
      </w:r>
      <w:r>
        <w:rPr>
          <w:color w:val="000000"/>
          <w:sz w:val="24"/>
          <w:szCs w:val="20"/>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color w:val="000000"/>
          <w:sz w:val="22"/>
          <w:highlight w:val="none"/>
        </w:rPr>
      </w:pPr>
      <w:r>
        <w:rPr>
          <w:rFonts w:hint="eastAsia" w:ascii="宋体" w:hAnsi="宋体"/>
          <w:b/>
          <w:color w:val="000000"/>
          <w:sz w:val="32"/>
          <w:szCs w:val="32"/>
          <w:highlight w:val="none"/>
        </w:rPr>
        <w:t xml:space="preserve">参加本项目人员一览表</w:t>
      </w:r>
      <w:r>
        <w:rPr>
          <w:rFonts w:ascii="宋体" w:hAnsi="宋体"/>
          <w:color w:val="000000"/>
          <w:sz w:val="22"/>
          <w:highlight w:val="none"/>
        </w:rPr>
      </w:r>
      <w:r/>
    </w:p>
    <w:p>
      <w:pPr>
        <w:pStyle w:val="104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4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41"/>
        <w:spacing w:line="360" w:lineRule="auto"/>
        <w:rPr>
          <w:rFonts w:ascii="宋体" w:hAnsi="宋体"/>
          <w:color w:val="000000"/>
          <w:sz w:val="24"/>
          <w:highlight w:val="none"/>
        </w:rPr>
      </w:pPr>
      <w:r>
        <w:rPr>
          <w:rFonts w:ascii="宋体" w:hAnsi="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2"/>
          <w:highlight w:val="none"/>
        </w:rPr>
        <w:br w:type="page" w:clear="all"/>
      </w:r>
      <w:bookmarkStart w:id="704" w:name="_Toc288738839"/>
      <w:r/>
      <w:bookmarkStart w:id="705" w:name="_Toc288738397"/>
      <w:r>
        <w:rPr>
          <w:rFonts w:hint="eastAsia"/>
          <w:color w:val="000000"/>
          <w:sz w:val="24"/>
          <w:highlight w:val="none"/>
        </w:rPr>
        <w:t xml:space="preserve">相关业绩案例一览表</w:t>
      </w:r>
      <w:r>
        <w:rPr>
          <w:color w:val="000000"/>
          <w:sz w:val="24"/>
          <w:szCs w:val="20"/>
          <w:highlight w:val="none"/>
        </w:rPr>
      </w:r>
      <w:r/>
    </w:p>
    <w:p>
      <w:pPr>
        <w:pStyle w:val="1041"/>
        <w:rPr>
          <w:color w:val="000000"/>
          <w:sz w:val="24"/>
          <w:szCs w:val="20"/>
          <w:highlight w:val="none"/>
        </w:rPr>
      </w:pPr>
      <w:r>
        <w:rPr>
          <w:color w:val="000000"/>
          <w:sz w:val="24"/>
          <w:szCs w:val="20"/>
          <w:highlight w:val="none"/>
        </w:rPr>
      </w:r>
      <w:r/>
    </w:p>
    <w:p>
      <w:pPr>
        <w:pStyle w:val="1041"/>
        <w:jc w:val="center"/>
        <w:rPr>
          <w:rFonts w:ascii="宋体" w:hAnsi="宋体"/>
          <w:b/>
          <w:color w:val="000000"/>
          <w:sz w:val="28"/>
          <w:szCs w:val="30"/>
          <w:highlight w:val="none"/>
        </w:rPr>
      </w:pPr>
      <w:r>
        <w:rPr>
          <w:rFonts w:hint="eastAsia" w:ascii="宋体" w:hAnsi="宋体"/>
          <w:b/>
          <w:color w:val="000000"/>
          <w:sz w:val="32"/>
          <w:szCs w:val="32"/>
          <w:highlight w:val="none"/>
        </w:rPr>
        <w:t xml:space="preserve">相关业绩案例一览表</w:t>
      </w:r>
      <w:bookmarkEnd w:id="704"/>
      <w:r/>
      <w:bookmarkEnd w:id="705"/>
      <w:r>
        <w:rPr>
          <w:rFonts w:ascii="宋体" w:hAnsi="宋体"/>
          <w:b/>
          <w:color w:val="000000"/>
          <w:sz w:val="28"/>
          <w:szCs w:val="30"/>
          <w:highlight w:val="none"/>
        </w:rPr>
      </w:r>
      <w:r/>
    </w:p>
    <w:p>
      <w:pPr>
        <w:pStyle w:val="104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41"/>
        <w:spacing w:line="360" w:lineRule="auto"/>
        <w:rPr>
          <w:rFonts w:ascii="宋体" w:hAnsi="宋体" w:cs="宋体"/>
          <w:color w:val="000000"/>
          <w:sz w:val="24"/>
          <w:highlight w:val="none"/>
        </w:rPr>
      </w:pPr>
      <w:r>
        <w:rPr>
          <w:rFonts w:ascii="宋体" w:hAnsi="宋体" w:cs="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rFonts w:hint="eastAsia" w:ascii="宋体" w:hAnsi="宋体" w:cs="宋体"/>
          <w:b/>
          <w:bCs/>
          <w:color w:val="000000"/>
          <w:sz w:val="24"/>
          <w:szCs w:val="20"/>
          <w:highlight w:val="none"/>
        </w:rPr>
        <w:outlineLvl w:val="2"/>
      </w:pPr>
      <w:r>
        <w:rPr>
          <w:rFonts w:hint="eastAsia"/>
          <w:color w:val="000000"/>
          <w:sz w:val="24"/>
          <w:highlight w:val="none"/>
        </w:rPr>
        <w:t xml:space="preserve">品牌推荐表（实质性格式，如有）</w:t>
      </w:r>
      <w:r>
        <w:rPr>
          <w:rFonts w:hint="eastAsia" w:ascii="宋体" w:hAnsi="宋体" w:cs="宋体"/>
          <w:b/>
          <w:bCs/>
          <w:color w:val="000000"/>
          <w:sz w:val="24"/>
          <w:szCs w:val="20"/>
          <w:highlight w:val="none"/>
        </w:rPr>
      </w:r>
      <w:r/>
    </w:p>
    <w:p>
      <w:pPr>
        <w:pStyle w:val="1041"/>
        <w:jc w:val="center"/>
        <w:rPr>
          <w:rFonts w:ascii="宋体" w:hAnsi="宋体"/>
          <w:b/>
          <w:color w:val="000000"/>
          <w:sz w:val="32"/>
          <w:szCs w:val="32"/>
          <w:highlight w:val="none"/>
        </w:rPr>
      </w:pPr>
      <w:r>
        <w:rPr>
          <w:rFonts w:hint="eastAsia" w:ascii="宋体" w:hAnsi="宋体"/>
          <w:b/>
          <w:color w:val="000000"/>
          <w:sz w:val="32"/>
          <w:szCs w:val="32"/>
          <w:highlight w:val="none"/>
        </w:rPr>
        <w:t xml:space="preserve">品牌推荐表</w:t>
      </w:r>
      <w:r>
        <w:rPr>
          <w:rFonts w:ascii="宋体" w:hAnsi="宋体"/>
          <w:b/>
          <w:color w:val="000000"/>
          <w:sz w:val="32"/>
          <w:szCs w:val="32"/>
          <w:highlight w:val="none"/>
        </w:rPr>
      </w:r>
      <w:r/>
    </w:p>
    <w:p>
      <w:pPr>
        <w:pStyle w:val="1041"/>
        <w:rPr>
          <w:rFonts w:hint="eastAsia"/>
          <w:color w:val="000000"/>
          <w:highlight w:val="none"/>
        </w:rPr>
      </w:pPr>
      <w:r>
        <w:rPr>
          <w:rFonts w:hint="eastAsia"/>
          <w:color w:val="000000"/>
          <w:highlight w:val="none"/>
        </w:rPr>
      </w:r>
      <w:r/>
    </w:p>
    <w:tbl>
      <w:tblPr>
        <w:tblpPr w:horzAnchor="page" w:tblpX="1669" w:vertAnchor="text" w:tblpY="2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85"/>
        <w:gridCol w:w="3198"/>
        <w:gridCol w:w="3198"/>
      </w:tblGrid>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设备</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甲供品牌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拟投入品牌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r>
      <w:tr>
        <w:trPr>
          <w:trHeight w:val="400"/>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1</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2</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5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bl>
    <w:p>
      <w:pPr>
        <w:pStyle w:val="1041"/>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若供应商欲在招标人推荐的品牌之外选择其它品牌的，则该品牌产品必须满足采购要求，且必须在答疑截止时间前提交书面疑问材料，通过答疑方式征得招标人的认可后方可进行报价，否则视为未响应采购文件的实质性要求。材料进场前提供报价对应的品牌材料样品交由招标人认可后方可进场施工。</w:t>
      </w:r>
      <w:r>
        <w:rPr>
          <w:rFonts w:hint="eastAsia" w:ascii="宋体" w:hAnsi="宋体" w:cs="宋体"/>
          <w:color w:val="000000"/>
          <w:sz w:val="24"/>
          <w:highlight w:val="none"/>
        </w:rPr>
      </w:r>
      <w:r/>
    </w:p>
    <w:p>
      <w:pPr>
        <w:pStyle w:val="1073"/>
        <w:ind w:firstLine="480"/>
        <w:spacing w:line="240" w:lineRule="auto"/>
        <w:tabs>
          <w:tab w:val="left" w:pos="567" w:leader="none"/>
        </w:tabs>
        <w:rPr>
          <w:rFonts w:hint="eastAsia"/>
          <w:color w:val="000000"/>
          <w:highlight w:val="none"/>
        </w:rPr>
      </w:pPr>
      <w:r>
        <w:rPr>
          <w:rFonts w:hint="eastAsia"/>
          <w:color w:val="000000"/>
          <w:highlight w:val="none"/>
        </w:rPr>
        <w:t xml:space="preserve">凡清单中提供可选品牌的材料（设备），投标报价的“品牌推荐表”中应注明供应商所选择的材料（设备）的品牌（或规格、型号、产地），未注明上述信息的，视为供应商同意由发包人选择相应材料（设备）的品牌（或规格、型号、产地），但材料（设备）价格不予调整。因可选品牌材料（设备）之间客观存在的差异所引起的价格差异由供应商在投标报价时综合考虑。中标后，供应商不得因此提出价格调整的要求。</w:t>
      </w:r>
      <w:r>
        <w:rPr>
          <w:rFonts w:hint="eastAsia"/>
          <w:color w:val="000000"/>
          <w:highlight w:val="none"/>
        </w:rPr>
      </w:r>
      <w:r/>
    </w:p>
    <w:p>
      <w:pPr>
        <w:pStyle w:val="1041"/>
        <w:jc w:val="righ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供应商：（加盖公章）：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法定代表人签字、签章或印鉴：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ind w:firstLine="3780"/>
        <w:jc w:val="right"/>
        <w:rPr>
          <w:rFonts w:hint="eastAsia" w:ascii="宋体" w:hAnsi="宋体" w:cs="宋体"/>
          <w:color w:val="000000"/>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highlight w:val="none"/>
        </w:rPr>
        <w:outlineLvl w:val="2"/>
      </w:pPr>
      <w:r>
        <w:rPr>
          <w:rFonts w:hint="eastAsia"/>
          <w:color w:val="000000"/>
          <w:sz w:val="24"/>
          <w:highlight w:val="none"/>
        </w:rPr>
        <w:t xml:space="preserve">磋商文件要求提供或供应商认为应附的其他材料</w:t>
      </w:r>
      <w:r>
        <w:rPr>
          <w:color w:val="000000"/>
          <w:sz w:val="24"/>
          <w:highlight w:val="none"/>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rPr>
        <w:rStyle w:val="1115"/>
      </w:rPr>
    </w:r>
    <w:r/>
  </w:p>
  <w:p>
    <w:pPr>
      <w:pStyle w:val="1090"/>
      <w:ind w:right="360"/>
      <w:tabs>
        <w:tab w:val="center" w:pos="4153" w:leader="none"/>
        <w:tab w:val="right" w:pos="8306" w:leader="none"/>
      </w:tabs>
    </w:pPr>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b/>
      </w:rPr>
    </w:pPr>
    <w:r>
      <w:t xml:space="preserve">                                                               </w:t>
    </w:r>
    <w:r>
      <w:rPr>
        <w:rFonts w:hint="eastAsia"/>
        <w:b/>
      </w:rPr>
      <w:t xml:space="preserve"> </w:t>
    </w:r>
    <w:r>
      <w:rPr>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p>
    <w:pPr>
      <w:pStyle w:val="10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pStyle w:val="1041"/>
        <w:ind w:left="1440" w:hanging="360"/>
      </w:pPr>
      <w:rPr>
        <w:rFonts w:ascii="Courier New" w:hAnsi="Courier New" w:eastAsia="Courier New" w:cs="Courier New"/>
      </w:rPr>
    </w:lvl>
    <w:lvl w:ilvl="2">
      <w:start w:val="1"/>
      <w:numFmt w:val="bullet"/>
      <w:isLgl w:val="false"/>
      <w:suff w:val="tab"/>
      <w:lvlText w:val="§"/>
      <w:lvlJc w:val="left"/>
      <w:pPr>
        <w:pStyle w:val="1041"/>
        <w:ind w:left="2160" w:hanging="360"/>
      </w:pPr>
      <w:rPr>
        <w:rFonts w:ascii="Wingdings" w:hAnsi="Wingdings" w:eastAsia="Wingdings" w:cs="Wingdings"/>
      </w:rPr>
    </w:lvl>
    <w:lvl w:ilvl="3">
      <w:start w:val="1"/>
      <w:numFmt w:val="bullet"/>
      <w:isLgl w:val="false"/>
      <w:suff w:val="tab"/>
      <w:lvlText w:val="·"/>
      <w:lvlJc w:val="left"/>
      <w:pPr>
        <w:pStyle w:val="1041"/>
        <w:ind w:left="2880" w:hanging="360"/>
      </w:pPr>
      <w:rPr>
        <w:rFonts w:ascii="Symbol" w:hAnsi="Symbol" w:eastAsia="Symbol" w:cs="Symbol"/>
      </w:rPr>
    </w:lvl>
    <w:lvl w:ilvl="4">
      <w:start w:val="1"/>
      <w:numFmt w:val="bullet"/>
      <w:isLgl w:val="false"/>
      <w:suff w:val="tab"/>
      <w:lvlText w:val="o"/>
      <w:lvlJc w:val="left"/>
      <w:pPr>
        <w:pStyle w:val="1041"/>
        <w:ind w:left="3600" w:hanging="360"/>
      </w:pPr>
      <w:rPr>
        <w:rFonts w:ascii="Courier New" w:hAnsi="Courier New" w:eastAsia="Courier New" w:cs="Courier New"/>
      </w:rPr>
    </w:lvl>
    <w:lvl w:ilvl="5">
      <w:start w:val="1"/>
      <w:numFmt w:val="bullet"/>
      <w:isLgl w:val="false"/>
      <w:suff w:val="tab"/>
      <w:lvlText w:val="§"/>
      <w:lvlJc w:val="left"/>
      <w:pPr>
        <w:pStyle w:val="1041"/>
        <w:ind w:left="4320" w:hanging="360"/>
      </w:pPr>
      <w:rPr>
        <w:rFonts w:ascii="Wingdings" w:hAnsi="Wingdings" w:eastAsia="Wingdings" w:cs="Wingdings"/>
      </w:rPr>
    </w:lvl>
    <w:lvl w:ilvl="6">
      <w:start w:val="1"/>
      <w:numFmt w:val="bullet"/>
      <w:isLgl w:val="false"/>
      <w:suff w:val="tab"/>
      <w:lvlText w:val="·"/>
      <w:lvlJc w:val="left"/>
      <w:pPr>
        <w:pStyle w:val="1041"/>
        <w:ind w:left="5040" w:hanging="360"/>
      </w:pPr>
      <w:rPr>
        <w:rFonts w:ascii="Symbol" w:hAnsi="Symbol" w:eastAsia="Symbol" w:cs="Symbol"/>
      </w:rPr>
    </w:lvl>
    <w:lvl w:ilvl="7">
      <w:start w:val="1"/>
      <w:numFmt w:val="bullet"/>
      <w:isLgl w:val="false"/>
      <w:suff w:val="tab"/>
      <w:lvlText w:val="o"/>
      <w:lvlJc w:val="left"/>
      <w:pPr>
        <w:pStyle w:val="1041"/>
        <w:ind w:left="5760" w:hanging="360"/>
      </w:pPr>
      <w:rPr>
        <w:rFonts w:ascii="Courier New" w:hAnsi="Courier New" w:eastAsia="Courier New" w:cs="Courier New"/>
      </w:rPr>
    </w:lvl>
    <w:lvl w:ilvl="8">
      <w:start w:val="1"/>
      <w:numFmt w:val="bullet"/>
      <w:isLgl w:val="false"/>
      <w:suff w:val="tab"/>
      <w:lvlText w:val="§"/>
      <w:lvlJc w:val="left"/>
      <w:pPr>
        <w:pStyle w:val="104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2">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10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1"/>
        <w:ind w:left="4941" w:hanging="1140"/>
        <w:tabs>
          <w:tab w:val="num" w:pos="4941" w:leader="none"/>
        </w:tabs>
      </w:pPr>
      <w:rPr>
        <w:rFonts w:hint="eastAsia"/>
      </w:rPr>
    </w:lvl>
    <w:lvl w:ilvl="1">
      <w:start w:val="1"/>
      <w:numFmt w:val="lowerLetter"/>
      <w:isLgl w:val="false"/>
      <w:suff w:val="tab"/>
      <w:lvlText w:val="%2)"/>
      <w:lvlJc w:val="left"/>
      <w:pPr>
        <w:pStyle w:val="1041"/>
        <w:ind w:left="4641" w:hanging="420"/>
        <w:tabs>
          <w:tab w:val="num" w:pos="4641" w:leader="none"/>
        </w:tabs>
      </w:pPr>
    </w:lvl>
    <w:lvl w:ilvl="2">
      <w:start w:val="1"/>
      <w:numFmt w:val="lowerRoman"/>
      <w:isLgl w:val="false"/>
      <w:suff w:val="tab"/>
      <w:lvlText w:val="%3."/>
      <w:lvlJc w:val="right"/>
      <w:pPr>
        <w:pStyle w:val="1041"/>
        <w:ind w:left="5061" w:hanging="420"/>
        <w:tabs>
          <w:tab w:val="num" w:pos="5061" w:leader="none"/>
        </w:tabs>
      </w:pPr>
    </w:lvl>
    <w:lvl w:ilvl="3">
      <w:start w:val="1"/>
      <w:numFmt w:val="decimal"/>
      <w:isLgl w:val="false"/>
      <w:suff w:val="tab"/>
      <w:lvlText w:val="%4."/>
      <w:lvlJc w:val="left"/>
      <w:pPr>
        <w:pStyle w:val="1041"/>
        <w:ind w:left="5481" w:hanging="420"/>
        <w:tabs>
          <w:tab w:val="num" w:pos="5481" w:leader="none"/>
        </w:tabs>
      </w:pPr>
    </w:lvl>
    <w:lvl w:ilvl="4">
      <w:start w:val="1"/>
      <w:numFmt w:val="lowerLetter"/>
      <w:isLgl w:val="false"/>
      <w:suff w:val="tab"/>
      <w:lvlText w:val="%5)"/>
      <w:lvlJc w:val="left"/>
      <w:pPr>
        <w:pStyle w:val="1041"/>
        <w:ind w:left="5901" w:hanging="420"/>
        <w:tabs>
          <w:tab w:val="num" w:pos="5901" w:leader="none"/>
        </w:tabs>
      </w:pPr>
    </w:lvl>
    <w:lvl w:ilvl="5">
      <w:start w:val="1"/>
      <w:numFmt w:val="lowerRoman"/>
      <w:isLgl w:val="false"/>
      <w:suff w:val="tab"/>
      <w:lvlText w:val="%6."/>
      <w:lvlJc w:val="right"/>
      <w:pPr>
        <w:pStyle w:val="1041"/>
        <w:ind w:left="6321" w:hanging="420"/>
        <w:tabs>
          <w:tab w:val="num" w:pos="6321" w:leader="none"/>
        </w:tabs>
      </w:pPr>
    </w:lvl>
    <w:lvl w:ilvl="6">
      <w:start w:val="1"/>
      <w:numFmt w:val="decimal"/>
      <w:isLgl w:val="false"/>
      <w:suff w:val="tab"/>
      <w:lvlText w:val="%7."/>
      <w:lvlJc w:val="left"/>
      <w:pPr>
        <w:pStyle w:val="1041"/>
        <w:ind w:left="6741" w:hanging="420"/>
        <w:tabs>
          <w:tab w:val="num" w:pos="6741" w:leader="none"/>
        </w:tabs>
      </w:pPr>
    </w:lvl>
    <w:lvl w:ilvl="7">
      <w:start w:val="1"/>
      <w:numFmt w:val="lowerLetter"/>
      <w:isLgl w:val="false"/>
      <w:suff w:val="tab"/>
      <w:lvlText w:val="%8)"/>
      <w:lvlJc w:val="left"/>
      <w:pPr>
        <w:pStyle w:val="1041"/>
        <w:ind w:left="7161" w:hanging="420"/>
        <w:tabs>
          <w:tab w:val="num" w:pos="7161" w:leader="none"/>
        </w:tabs>
      </w:pPr>
    </w:lvl>
    <w:lvl w:ilvl="8">
      <w:start w:val="1"/>
      <w:numFmt w:val="lowerRoman"/>
      <w:isLgl w:val="false"/>
      <w:suff w:val="tab"/>
      <w:lvlText w:val="%9."/>
      <w:lvlJc w:val="right"/>
      <w:pPr>
        <w:pStyle w:val="1041"/>
        <w:ind w:left="7581" w:hanging="420"/>
        <w:tabs>
          <w:tab w:val="num" w:pos="7581" w:leader="none"/>
        </w:tabs>
      </w:pPr>
    </w:lvl>
  </w:abstractNum>
  <w:abstractNum w:abstractNumId="7">
    <w:multiLevelType w:val="hybridMultilevel"/>
    <w:lvl w:ilvl="0">
      <w:start w:val="1"/>
      <w:numFmt w:val="decimal"/>
      <w:pStyle w:val="1198"/>
      <w:isLgl w:val="false"/>
      <w:suff w:val="tab"/>
      <w:lvlText w:val="%1."/>
      <w:lvlJc w:val="left"/>
      <w:pPr>
        <w:pStyle w:val="1041"/>
        <w:ind w:left="420" w:hanging="420"/>
      </w:pPr>
    </w:lvl>
    <w:lvl w:ilvl="1">
      <w:start w:val="1"/>
      <w:numFmt w:val="decimal"/>
      <w:isLgl w:val="false"/>
      <w:suff w:val="tab"/>
      <w:lvlText w:val="（%2）"/>
      <w:lvlJc w:val="left"/>
      <w:pPr>
        <w:pStyle w:val="1041"/>
        <w:ind w:left="1140" w:hanging="720"/>
        <w:tabs>
          <w:tab w:val="num" w:pos="1140" w:leader="none"/>
        </w:tabs>
      </w:pPr>
      <w:rPr>
        <w:rFonts w:hint="eastAsia"/>
      </w:r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8">
    <w:multiLevelType w:val="hybridMultilevel"/>
    <w:lvl w:ilvl="0">
      <w:start w:val="1"/>
      <w:numFmt w:val="lowerLetter"/>
      <w:pStyle w:val="1270"/>
      <w:isLgl w:val="false"/>
      <w:suff w:val="tab"/>
      <w:lvlText w:val="%1)"/>
      <w:lvlJc w:val="left"/>
      <w:pPr>
        <w:pStyle w:val="1041"/>
        <w:ind w:left="902" w:hanging="420"/>
      </w:pPr>
      <w:rPr>
        <w:color w:val="000000"/>
      </w:rPr>
    </w:lvl>
    <w:lvl w:ilvl="1">
      <w:start w:val="1"/>
      <w:numFmt w:val="lowerLetter"/>
      <w:isLgl w:val="false"/>
      <w:suff w:val="tab"/>
      <w:lvlText w:val="%2)"/>
      <w:lvlJc w:val="left"/>
      <w:pPr>
        <w:pStyle w:val="1041"/>
        <w:ind w:left="1322" w:hanging="420"/>
      </w:pPr>
    </w:lvl>
    <w:lvl w:ilvl="2">
      <w:start w:val="1"/>
      <w:numFmt w:val="lowerRoman"/>
      <w:isLgl w:val="false"/>
      <w:suff w:val="tab"/>
      <w:lvlText w:val="%3."/>
      <w:lvlJc w:val="right"/>
      <w:pPr>
        <w:pStyle w:val="1041"/>
        <w:ind w:left="1742" w:hanging="420"/>
      </w:pPr>
    </w:lvl>
    <w:lvl w:ilvl="3">
      <w:start w:val="1"/>
      <w:numFmt w:val="decimal"/>
      <w:isLgl w:val="false"/>
      <w:suff w:val="tab"/>
      <w:lvlText w:val="%4."/>
      <w:lvlJc w:val="left"/>
      <w:pPr>
        <w:pStyle w:val="1041"/>
        <w:ind w:left="2162" w:hanging="420"/>
      </w:pPr>
    </w:lvl>
    <w:lvl w:ilvl="4">
      <w:start w:val="1"/>
      <w:numFmt w:val="lowerLetter"/>
      <w:isLgl w:val="false"/>
      <w:suff w:val="tab"/>
      <w:lvlText w:val="%5)"/>
      <w:lvlJc w:val="left"/>
      <w:pPr>
        <w:pStyle w:val="1041"/>
        <w:ind w:left="2582" w:hanging="420"/>
      </w:pPr>
    </w:lvl>
    <w:lvl w:ilvl="5">
      <w:start w:val="1"/>
      <w:numFmt w:val="lowerRoman"/>
      <w:isLgl w:val="false"/>
      <w:suff w:val="tab"/>
      <w:lvlText w:val="%6."/>
      <w:lvlJc w:val="right"/>
      <w:pPr>
        <w:pStyle w:val="1041"/>
        <w:ind w:left="3002" w:hanging="420"/>
      </w:pPr>
    </w:lvl>
    <w:lvl w:ilvl="6">
      <w:start w:val="1"/>
      <w:numFmt w:val="decimal"/>
      <w:isLgl w:val="false"/>
      <w:suff w:val="tab"/>
      <w:lvlText w:val="%7."/>
      <w:lvlJc w:val="left"/>
      <w:pPr>
        <w:pStyle w:val="1041"/>
        <w:ind w:left="3422" w:hanging="420"/>
      </w:pPr>
    </w:lvl>
    <w:lvl w:ilvl="7">
      <w:start w:val="1"/>
      <w:numFmt w:val="lowerLetter"/>
      <w:isLgl w:val="false"/>
      <w:suff w:val="tab"/>
      <w:lvlText w:val="%8)"/>
      <w:lvlJc w:val="left"/>
      <w:pPr>
        <w:pStyle w:val="1041"/>
        <w:ind w:left="3842" w:hanging="420"/>
      </w:pPr>
    </w:lvl>
    <w:lvl w:ilvl="8">
      <w:start w:val="1"/>
      <w:numFmt w:val="lowerRoman"/>
      <w:isLgl w:val="false"/>
      <w:suff w:val="tab"/>
      <w:lvlText w:val="%9."/>
      <w:lvlJc w:val="right"/>
      <w:pPr>
        <w:pStyle w:val="1041"/>
        <w:ind w:left="4262" w:hanging="420"/>
      </w:pPr>
    </w:lvl>
  </w:abstractNum>
  <w:abstractNum w:abstractNumId="9">
    <w:multiLevelType w:val="hybridMultilevel"/>
    <w:lvl w:ilvl="0">
      <w:start w:val="1"/>
      <w:numFmt w:val="decimal"/>
      <w:pStyle w:val="1273"/>
      <w:isLgl w:val="false"/>
      <w:suff w:val="tab"/>
      <w:lvlText w:val="%1."/>
      <w:lvlJc w:val="left"/>
      <w:pPr>
        <w:pStyle w:val="104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4"/>
      <w:isLgl w:val="false"/>
      <w:suff w:val="nothing"/>
      <w:lvlText w:val="%1　"/>
      <w:lvlJc w:val="left"/>
      <w:pPr>
        <w:pStyle w:val="104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1"/>
        <w:ind w:left="-25" w:firstLine="0"/>
      </w:pPr>
      <w:rPr>
        <w:rFonts w:ascii="Times New Roman" w:hAnsi="Times New Roman" w:eastAsia="黑体"/>
        <w:b/>
        <w:i w:val="0"/>
        <w:sz w:val="28"/>
      </w:rPr>
    </w:lvl>
    <w:lvl w:ilvl="3">
      <w:start w:val="1"/>
      <w:numFmt w:val="decimal"/>
      <w:pStyle w:val="1199"/>
      <w:isLgl w:val="false"/>
      <w:suff w:val="nothing"/>
      <w:lvlText w:val="%1.%2.%3.%4　"/>
      <w:lvlJc w:val="left"/>
      <w:pPr>
        <w:pStyle w:val="104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1"/>
        <w:ind w:left="-25" w:firstLine="0"/>
      </w:pPr>
      <w:rPr>
        <w:rFonts w:ascii="Times New Roman" w:hAnsi="Times New Roman" w:eastAsia="宋体"/>
        <w:b/>
        <w:i w:val="0"/>
        <w:sz w:val="28"/>
      </w:rPr>
    </w:lvl>
    <w:lvl w:ilvl="6">
      <w:start w:val="1"/>
      <w:numFmt w:val="lowerLetter"/>
      <w:pStyle w:val="1178"/>
      <w:isLgl w:val="false"/>
      <w:suff w:val="tab"/>
      <w:lvlText w:val="%7) "/>
      <w:lvlJc w:val="left"/>
      <w:pPr>
        <w:pStyle w:val="1041"/>
        <w:ind w:left="-125" w:firstLine="400"/>
        <w:tabs>
          <w:tab w:val="num" w:pos="635" w:leader="none"/>
        </w:tabs>
      </w:pPr>
      <w:rPr>
        <w:rFonts w:ascii="Times New Roman" w:hAnsi="Times New Roman" w:eastAsia="宋体"/>
        <w:b/>
        <w:i w:val="0"/>
        <w:color w:val="000000"/>
        <w:sz w:val="28"/>
        <w:u w:val="none"/>
      </w:rPr>
    </w:lvl>
    <w:lvl w:ilvl="7">
      <w:start w:val="1"/>
      <w:numFmt w:val="decimal"/>
      <w:pStyle w:val="1189"/>
      <w:isLgl w:val="false"/>
      <w:suff w:val="tab"/>
      <w:lvlText w:val="%8) "/>
      <w:lvlJc w:val="left"/>
      <w:pPr>
        <w:pStyle w:val="104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1"/>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1041"/>
        <w:ind w:left="768" w:hanging="360"/>
        <w:tabs>
          <w:tab w:val="num" w:pos="768" w:leader="none"/>
        </w:tabs>
      </w:pPr>
      <w:rPr>
        <w:rFonts w:hint="eastAsia"/>
      </w:rPr>
    </w:lvl>
    <w:lvl w:ilvl="1">
      <w:start w:val="1"/>
      <w:numFmt w:val="decimal"/>
      <w:pStyle w:val="1271"/>
      <w:isLgl w:val="false"/>
      <w:suff w:val="tab"/>
      <w:lvlText w:val="%2、"/>
      <w:lvlJc w:val="left"/>
      <w:pPr>
        <w:pStyle w:val="1041"/>
        <w:ind w:left="1188" w:hanging="360"/>
        <w:tabs>
          <w:tab w:val="num" w:pos="1188" w:leader="none"/>
        </w:tabs>
      </w:pPr>
      <w:rPr>
        <w:rFonts w:hint="eastAsia"/>
      </w:rPr>
    </w:lvl>
    <w:lvl w:ilvl="2">
      <w:start w:val="1"/>
      <w:numFmt w:val="decimal"/>
      <w:isLgl w:val="false"/>
      <w:suff w:val="tab"/>
      <w:lvlText w:val="（%3）"/>
      <w:lvlJc w:val="left"/>
      <w:pPr>
        <w:pStyle w:val="1041"/>
        <w:ind w:left="1968" w:hanging="720"/>
        <w:tabs>
          <w:tab w:val="num" w:pos="1968" w:leader="none"/>
        </w:tabs>
      </w:pPr>
      <w:rPr>
        <w:rFonts w:hint="eastAsia"/>
        <w:u w:val="none"/>
      </w:rPr>
    </w:lvl>
    <w:lvl w:ilvl="3">
      <w:start w:val="1"/>
      <w:numFmt w:val="decimal"/>
      <w:isLgl w:val="false"/>
      <w:suff w:val="tab"/>
      <w:lvlText w:val="%4."/>
      <w:lvlJc w:val="left"/>
      <w:pPr>
        <w:pStyle w:val="1041"/>
        <w:ind w:left="2088" w:hanging="420"/>
        <w:tabs>
          <w:tab w:val="num" w:pos="2088" w:leader="none"/>
        </w:tabs>
      </w:pPr>
    </w:lvl>
    <w:lvl w:ilvl="4">
      <w:start w:val="1"/>
      <w:numFmt w:val="lowerLetter"/>
      <w:isLgl w:val="false"/>
      <w:suff w:val="tab"/>
      <w:lvlText w:val="%5)"/>
      <w:lvlJc w:val="left"/>
      <w:pPr>
        <w:pStyle w:val="1041"/>
        <w:ind w:left="2508" w:hanging="420"/>
        <w:tabs>
          <w:tab w:val="num" w:pos="2508" w:leader="none"/>
        </w:tabs>
      </w:pPr>
    </w:lvl>
    <w:lvl w:ilvl="5">
      <w:start w:val="1"/>
      <w:numFmt w:val="lowerRoman"/>
      <w:isLgl w:val="false"/>
      <w:suff w:val="tab"/>
      <w:lvlText w:val="%6."/>
      <w:lvlJc w:val="right"/>
      <w:pPr>
        <w:pStyle w:val="1041"/>
        <w:ind w:left="2928" w:hanging="420"/>
        <w:tabs>
          <w:tab w:val="num" w:pos="2928" w:leader="none"/>
        </w:tabs>
      </w:pPr>
    </w:lvl>
    <w:lvl w:ilvl="6">
      <w:start w:val="1"/>
      <w:numFmt w:val="decimal"/>
      <w:isLgl w:val="false"/>
      <w:suff w:val="tab"/>
      <w:lvlText w:val="%7."/>
      <w:lvlJc w:val="left"/>
      <w:pPr>
        <w:pStyle w:val="1041"/>
        <w:ind w:left="3348" w:hanging="420"/>
        <w:tabs>
          <w:tab w:val="num" w:pos="3348" w:leader="none"/>
        </w:tabs>
      </w:pPr>
    </w:lvl>
    <w:lvl w:ilvl="7">
      <w:start w:val="1"/>
      <w:numFmt w:val="lowerLetter"/>
      <w:isLgl w:val="false"/>
      <w:suff w:val="tab"/>
      <w:lvlText w:val="%8)"/>
      <w:lvlJc w:val="left"/>
      <w:pPr>
        <w:pStyle w:val="1041"/>
        <w:ind w:left="3768" w:hanging="420"/>
        <w:tabs>
          <w:tab w:val="num" w:pos="3768" w:leader="none"/>
        </w:tabs>
      </w:pPr>
    </w:lvl>
    <w:lvl w:ilvl="8">
      <w:start w:val="1"/>
      <w:numFmt w:val="lowerRoman"/>
      <w:isLgl w:val="false"/>
      <w:suff w:val="tab"/>
      <w:lvlText w:val="%9."/>
      <w:lvlJc w:val="right"/>
      <w:pPr>
        <w:pStyle w:val="1041"/>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3">
    <w:multiLevelType w:val="hybridMultilevel"/>
    <w:lvl w:ilvl="0">
      <w:start w:val="1"/>
      <w:numFmt w:val="decimal"/>
      <w:pStyle w:val="1224"/>
      <w:isLgl w:val="false"/>
      <w:suff w:val="tab"/>
      <w:lvlText w:val="%1)"/>
      <w:lvlJc w:val="left"/>
      <w:pPr>
        <w:pStyle w:val="1041"/>
        <w:ind w:left="420" w:hanging="420"/>
      </w:pPr>
    </w:lvl>
    <w:lvl w:ilvl="1">
      <w:start w:val="1"/>
      <w:numFmt w:val="lowerLetter"/>
      <w:isLgl w:val="false"/>
      <w:suff w:val="tab"/>
      <w:lvlText w:val="%2)"/>
      <w:lvlJc w:val="left"/>
      <w:pPr>
        <w:pStyle w:val="1041"/>
        <w:ind w:left="840" w:hanging="420"/>
      </w:p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14">
    <w:multiLevelType w:val="hybridMultilevel"/>
    <w:lvl w:ilvl="0">
      <w:start w:val="1"/>
      <w:numFmt w:val="decimal"/>
      <w:pStyle w:val="1235"/>
      <w:isLgl w:val="false"/>
      <w:suff w:val="tab"/>
      <w:lvlText w:val="%1"/>
      <w:lvlJc w:val="left"/>
      <w:pPr>
        <w:pStyle w:val="1041"/>
        <w:ind w:left="680" w:hanging="680"/>
      </w:pPr>
      <w:rPr>
        <w:rFonts w:hint="eastAsia" w:ascii="宋体" w:hAnsi="宋体" w:eastAsia="宋体"/>
      </w:rPr>
    </w:lvl>
    <w:lvl w:ilvl="1">
      <w:start w:val="1"/>
      <w:numFmt w:val="decimal"/>
      <w:pStyle w:val="1179"/>
      <w:isLgl w:val="false"/>
      <w:suff w:val="tab"/>
      <w:lvlText w:val="%1.%2"/>
      <w:lvlJc w:val="left"/>
      <w:pPr>
        <w:pStyle w:val="1041"/>
        <w:ind w:left="851" w:hanging="851"/>
      </w:pPr>
      <w:rPr>
        <w:rFonts w:hint="eastAsia" w:ascii="宋体" w:hAnsi="宋体" w:eastAsia="宋体"/>
        <w:color w:val="000000"/>
      </w:rPr>
    </w:lvl>
    <w:lvl w:ilvl="2">
      <w:start w:val="1"/>
      <w:numFmt w:val="decimal"/>
      <w:pStyle w:val="1286"/>
      <w:isLgl w:val="false"/>
      <w:suff w:val="tab"/>
      <w:lvlText w:val="%1.%2.%3"/>
      <w:lvlJc w:val="left"/>
      <w:pPr>
        <w:pStyle w:val="1041"/>
        <w:ind w:left="851" w:hanging="851"/>
      </w:pPr>
      <w:rPr>
        <w:rFonts w:hint="eastAsia"/>
      </w:rPr>
    </w:lvl>
    <w:lvl w:ilvl="3">
      <w:start w:val="1"/>
      <w:numFmt w:val="decimal"/>
      <w:isLgl w:val="false"/>
      <w:suff w:val="tab"/>
      <w:lvlText w:val="%1.%2.%3.%4"/>
      <w:lvlJc w:val="left"/>
      <w:pPr>
        <w:pStyle w:val="1041"/>
        <w:ind w:left="680" w:hanging="680"/>
      </w:pPr>
      <w:rPr>
        <w:rFonts w:hint="eastAsia"/>
      </w:rPr>
    </w:lvl>
    <w:lvl w:ilvl="4">
      <w:start w:val="1"/>
      <w:numFmt w:val="decimal"/>
      <w:isLgl w:val="false"/>
      <w:suff w:val="tab"/>
      <w:lvlText w:val="%1.%2.%3.%4.%5"/>
      <w:lvlJc w:val="left"/>
      <w:pPr>
        <w:pStyle w:val="1041"/>
        <w:ind w:left="680" w:hanging="680"/>
      </w:pPr>
      <w:rPr>
        <w:rFonts w:hint="eastAsia"/>
      </w:rPr>
    </w:lvl>
    <w:lvl w:ilvl="5">
      <w:start w:val="1"/>
      <w:numFmt w:val="decimal"/>
      <w:isLgl w:val="false"/>
      <w:suff w:val="tab"/>
      <w:lvlText w:val="%1.%2.%3.%4.%5.%6"/>
      <w:lvlJc w:val="left"/>
      <w:pPr>
        <w:pStyle w:val="1041"/>
        <w:ind w:left="680" w:hanging="680"/>
      </w:pPr>
      <w:rPr>
        <w:rFonts w:hint="eastAsia"/>
      </w:rPr>
    </w:lvl>
    <w:lvl w:ilvl="6">
      <w:start w:val="1"/>
      <w:numFmt w:val="decimal"/>
      <w:isLgl w:val="false"/>
      <w:suff w:val="tab"/>
      <w:lvlText w:val="%1.%2.%3.%4.%5.%6.%7"/>
      <w:lvlJc w:val="left"/>
      <w:pPr>
        <w:pStyle w:val="1041"/>
        <w:ind w:left="680" w:hanging="680"/>
      </w:pPr>
      <w:rPr>
        <w:rFonts w:hint="eastAsia"/>
      </w:rPr>
    </w:lvl>
    <w:lvl w:ilvl="7">
      <w:start w:val="1"/>
      <w:numFmt w:val="decimal"/>
      <w:isLgl w:val="false"/>
      <w:suff w:val="tab"/>
      <w:lvlText w:val="%1.%2.%3.%4.%5.%6.%7.%8"/>
      <w:lvlJc w:val="left"/>
      <w:pPr>
        <w:pStyle w:val="1041"/>
        <w:ind w:left="680" w:hanging="680"/>
      </w:pPr>
      <w:rPr>
        <w:rFonts w:hint="eastAsia"/>
      </w:rPr>
    </w:lvl>
    <w:lvl w:ilvl="8">
      <w:start w:val="1"/>
      <w:numFmt w:val="decimal"/>
      <w:isLgl w:val="false"/>
      <w:suff w:val="tab"/>
      <w:lvlText w:val="%1.%2.%3.%4.%5.%6.%7.%8.%9"/>
      <w:lvlJc w:val="left"/>
      <w:pPr>
        <w:pStyle w:val="1041"/>
        <w:ind w:left="680" w:hanging="680"/>
      </w:pPr>
      <w:rPr>
        <w:rFonts w:hint="eastAsia"/>
      </w:rPr>
    </w:lvl>
  </w:abstractNum>
  <w:abstractNum w:abstractNumId="15">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8">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7"/>
  </w:num>
  <w:num w:numId="4">
    <w:abstractNumId w:val="13"/>
  </w:num>
  <w:num w:numId="5">
    <w:abstractNumId w:val="8"/>
  </w:num>
  <w:num w:numId="6">
    <w:abstractNumId w:val="11"/>
  </w:num>
  <w:num w:numId="7">
    <w:abstractNumId w:val="9"/>
  </w:num>
  <w:num w:numId="8">
    <w:abstractNumId w:val="0"/>
  </w:num>
  <w:num w:numId="9">
    <w:abstractNumId w:val="12"/>
  </w:num>
  <w:num w:numId="10">
    <w:abstractNumId w:val="17"/>
  </w:num>
  <w:num w:numId="11">
    <w:abstractNumId w:val="6"/>
  </w:num>
  <w:num w:numId="12">
    <w:abstractNumId w:val="16"/>
  </w:num>
  <w:num w:numId="13">
    <w:abstractNumId w:val="5"/>
  </w:num>
  <w:num w:numId="14">
    <w:abstractNumId w:val="18"/>
  </w:num>
  <w:num w:numId="15">
    <w:abstractNumId w:val="2"/>
  </w:num>
  <w:num w:numId="16">
    <w:abstractNumId w:val="19"/>
  </w:num>
  <w:num w:numId="17">
    <w:abstractNumId w:val="15"/>
  </w:num>
  <w:num w:numId="18">
    <w:abstractNumId w:val="4"/>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41"/>
    <w:next w:val="1041"/>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41"/>
    <w:next w:val="1041"/>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41"/>
    <w:next w:val="1041"/>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41"/>
    <w:next w:val="1041"/>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41"/>
    <w:next w:val="1041"/>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41"/>
    <w:next w:val="1041"/>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41"/>
    <w:next w:val="1041"/>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41"/>
    <w:next w:val="1041"/>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41"/>
    <w:next w:val="1041"/>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No Spacing"/>
    <w:uiPriority w:val="1"/>
    <w:qFormat/>
    <w:pPr>
      <w:spacing w:before="0" w:after="0" w:line="240" w:lineRule="auto"/>
    </w:pPr>
  </w:style>
  <w:style w:type="paragraph" w:styleId="883">
    <w:name w:val="Title"/>
    <w:basedOn w:val="1041"/>
    <w:next w:val="1041"/>
    <w:link w:val="884"/>
    <w:uiPriority w:val="10"/>
    <w:qFormat/>
    <w:pPr>
      <w:contextualSpacing/>
      <w:spacing w:before="300" w:after="200"/>
    </w:pPr>
    <w:rPr>
      <w:sz w:val="48"/>
      <w:szCs w:val="48"/>
    </w:rPr>
  </w:style>
  <w:style w:type="character" w:styleId="884">
    <w:name w:val="Title Char"/>
    <w:link w:val="883"/>
    <w:uiPriority w:val="10"/>
    <w:rPr>
      <w:sz w:val="48"/>
      <w:szCs w:val="48"/>
    </w:rPr>
  </w:style>
  <w:style w:type="paragraph" w:styleId="885">
    <w:name w:val="Subtitle"/>
    <w:basedOn w:val="1041"/>
    <w:next w:val="1041"/>
    <w:link w:val="886"/>
    <w:uiPriority w:val="11"/>
    <w:qFormat/>
    <w:pPr>
      <w:spacing w:before="200" w:after="200"/>
    </w:pPr>
    <w:rPr>
      <w:sz w:val="24"/>
      <w:szCs w:val="24"/>
    </w:rPr>
  </w:style>
  <w:style w:type="character" w:styleId="886">
    <w:name w:val="Subtitle Char"/>
    <w:link w:val="885"/>
    <w:uiPriority w:val="11"/>
    <w:rPr>
      <w:sz w:val="24"/>
      <w:szCs w:val="24"/>
    </w:rPr>
  </w:style>
  <w:style w:type="paragraph" w:styleId="887">
    <w:name w:val="Quote"/>
    <w:basedOn w:val="1041"/>
    <w:next w:val="1041"/>
    <w:link w:val="888"/>
    <w:uiPriority w:val="29"/>
    <w:qFormat/>
    <w:pPr>
      <w:ind w:left="720" w:right="720"/>
    </w:pPr>
    <w:rPr>
      <w:i/>
    </w:rPr>
  </w:style>
  <w:style w:type="character" w:styleId="888">
    <w:name w:val="Quote Char"/>
    <w:link w:val="887"/>
    <w:uiPriority w:val="29"/>
    <w:rPr>
      <w:i/>
    </w:rPr>
  </w:style>
  <w:style w:type="paragraph" w:styleId="889">
    <w:name w:val="Intense Quote"/>
    <w:basedOn w:val="1041"/>
    <w:next w:val="1041"/>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paragraph" w:styleId="891">
    <w:name w:val="Header"/>
    <w:basedOn w:val="1041"/>
    <w:link w:val="892"/>
    <w:uiPriority w:val="99"/>
    <w:unhideWhenUsed/>
    <w:pPr>
      <w:spacing w:after="0" w:line="240" w:lineRule="auto"/>
      <w:tabs>
        <w:tab w:val="center" w:pos="7143" w:leader="none"/>
        <w:tab w:val="right" w:pos="14287" w:leader="none"/>
      </w:tabs>
    </w:pPr>
  </w:style>
  <w:style w:type="character" w:styleId="892">
    <w:name w:val="Header Char"/>
    <w:link w:val="891"/>
    <w:uiPriority w:val="99"/>
  </w:style>
  <w:style w:type="paragraph" w:styleId="893">
    <w:name w:val="Footer"/>
    <w:basedOn w:val="1041"/>
    <w:link w:val="896"/>
    <w:uiPriority w:val="99"/>
    <w:unhideWhenUsed/>
    <w:pPr>
      <w:spacing w:after="0" w:line="240" w:lineRule="auto"/>
      <w:tabs>
        <w:tab w:val="center" w:pos="7143" w:leader="none"/>
        <w:tab w:val="right" w:pos="14287" w:leader="none"/>
      </w:tabs>
    </w:pPr>
  </w:style>
  <w:style w:type="character" w:styleId="894">
    <w:name w:val="Footer Char"/>
    <w:link w:val="893"/>
    <w:uiPriority w:val="99"/>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3"/>
    <w:uiPriority w:val="99"/>
  </w:style>
  <w:style w:type="table" w:styleId="8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1"/>
    <w:link w:val="1041"/>
    <w:qFormat/>
    <w:pPr>
      <w:jc w:val="both"/>
      <w:widowControl w:val="off"/>
    </w:pPr>
    <w:rPr>
      <w:sz w:val="21"/>
      <w:szCs w:val="24"/>
      <w:lang w:val="en-US" w:eastAsia="zh-CN" w:bidi="ar-SA"/>
    </w:rPr>
  </w:style>
  <w:style w:type="paragraph" w:styleId="1042">
    <w:name w:val="标题 1"/>
    <w:basedOn w:val="1041"/>
    <w:next w:val="1041"/>
    <w:link w:val="1053"/>
    <w:qFormat/>
    <w:pPr>
      <w:jc w:val="center"/>
      <w:keepLines/>
      <w:keepNext/>
      <w:spacing w:before="240" w:after="120" w:line="300" w:lineRule="auto"/>
      <w:outlineLvl w:val="0"/>
    </w:pPr>
    <w:rPr>
      <w:rFonts w:ascii="宋体"/>
      <w:b/>
      <w:sz w:val="32"/>
      <w:szCs w:val="20"/>
    </w:rPr>
  </w:style>
  <w:style w:type="paragraph" w:styleId="1043">
    <w:name w:val="标题 2"/>
    <w:basedOn w:val="1041"/>
    <w:next w:val="1055"/>
    <w:link w:val="1054"/>
    <w:qFormat/>
    <w:pPr>
      <w:jc w:val="center"/>
      <w:keepLines/>
      <w:keepNext/>
      <w:spacing w:before="120" w:line="300" w:lineRule="auto"/>
      <w:outlineLvl w:val="1"/>
    </w:pPr>
    <w:rPr>
      <w:rFonts w:ascii="Arial" w:hAnsi="Arial" w:eastAsia="黑体"/>
      <w:b/>
      <w:sz w:val="30"/>
      <w:szCs w:val="20"/>
    </w:rPr>
  </w:style>
  <w:style w:type="paragraph" w:styleId="1044">
    <w:name w:val="标题 3"/>
    <w:basedOn w:val="1041"/>
    <w:next w:val="1041"/>
    <w:link w:val="1057"/>
    <w:qFormat/>
    <w:pPr>
      <w:jc w:val="left"/>
      <w:keepLines/>
      <w:keepNext/>
      <w:spacing w:before="360" w:after="120"/>
      <w:outlineLvl w:val="2"/>
    </w:pPr>
    <w:rPr>
      <w:rFonts w:ascii="宋体"/>
      <w:b/>
      <w:sz w:val="24"/>
      <w:szCs w:val="20"/>
      <w:u w:val="single"/>
    </w:rPr>
  </w:style>
  <w:style w:type="paragraph" w:styleId="1045">
    <w:name w:val="标题 4"/>
    <w:basedOn w:val="1041"/>
    <w:next w:val="1041"/>
    <w:link w:val="1058"/>
    <w:qFormat/>
    <w:pPr>
      <w:keepLines/>
      <w:keepNext/>
      <w:spacing w:before="280" w:after="290" w:line="376" w:lineRule="atLeast"/>
      <w:outlineLvl w:val="3"/>
    </w:pPr>
    <w:rPr>
      <w:rFonts w:ascii="Arial" w:hAnsi="Arial" w:eastAsia="黑体"/>
      <w:b/>
      <w:sz w:val="28"/>
      <w:szCs w:val="20"/>
    </w:rPr>
  </w:style>
  <w:style w:type="paragraph" w:styleId="1046">
    <w:name w:val="标题 5"/>
    <w:basedOn w:val="1041"/>
    <w:next w:val="1041"/>
    <w:link w:val="1059"/>
    <w:qFormat/>
    <w:pPr>
      <w:keepLines/>
      <w:keepNext/>
      <w:spacing w:before="280" w:after="290" w:line="376" w:lineRule="atLeast"/>
      <w:outlineLvl w:val="4"/>
    </w:pPr>
    <w:rPr>
      <w:b/>
      <w:sz w:val="28"/>
      <w:szCs w:val="20"/>
    </w:rPr>
  </w:style>
  <w:style w:type="paragraph" w:styleId="1047">
    <w:name w:val="标题 6"/>
    <w:basedOn w:val="1041"/>
    <w:next w:val="1041"/>
    <w:link w:val="1060"/>
    <w:qFormat/>
    <w:pPr>
      <w:keepLines/>
      <w:keepNext/>
      <w:spacing w:before="240" w:after="64" w:line="320" w:lineRule="atLeast"/>
      <w:outlineLvl w:val="5"/>
    </w:pPr>
    <w:rPr>
      <w:rFonts w:ascii="Arial" w:hAnsi="Arial" w:eastAsia="黑体"/>
      <w:b/>
      <w:sz w:val="24"/>
      <w:szCs w:val="20"/>
    </w:rPr>
  </w:style>
  <w:style w:type="paragraph" w:styleId="1048">
    <w:name w:val="标题 7"/>
    <w:basedOn w:val="1041"/>
    <w:next w:val="1041"/>
    <w:link w:val="1061"/>
    <w:qFormat/>
    <w:pPr>
      <w:keepLines/>
      <w:keepNext/>
      <w:spacing w:before="240" w:after="64" w:line="320" w:lineRule="atLeast"/>
      <w:outlineLvl w:val="6"/>
    </w:pPr>
    <w:rPr>
      <w:b/>
      <w:sz w:val="24"/>
      <w:szCs w:val="20"/>
    </w:rPr>
  </w:style>
  <w:style w:type="paragraph" w:styleId="1049">
    <w:name w:val="标题 8"/>
    <w:basedOn w:val="1041"/>
    <w:next w:val="1041"/>
    <w:link w:val="1062"/>
    <w:qFormat/>
    <w:pPr>
      <w:keepLines/>
      <w:keepNext/>
      <w:spacing w:before="240" w:after="64" w:line="320" w:lineRule="atLeast"/>
      <w:outlineLvl w:val="7"/>
    </w:pPr>
    <w:rPr>
      <w:rFonts w:ascii="Arial" w:hAnsi="Arial" w:eastAsia="黑体"/>
      <w:sz w:val="24"/>
      <w:szCs w:val="20"/>
    </w:rPr>
  </w:style>
  <w:style w:type="paragraph" w:styleId="1050">
    <w:name w:val="标题 9"/>
    <w:basedOn w:val="1041"/>
    <w:next w:val="1041"/>
    <w:link w:val="1063"/>
    <w:qFormat/>
    <w:pPr>
      <w:keepLines/>
      <w:keepNext/>
      <w:spacing w:before="240" w:after="64" w:line="320" w:lineRule="atLeast"/>
      <w:outlineLvl w:val="8"/>
    </w:pPr>
    <w:rPr>
      <w:rFonts w:ascii="Arial" w:hAnsi="Arial" w:eastAsia="黑体"/>
      <w:szCs w:val="20"/>
    </w:rPr>
  </w:style>
  <w:style w:type="character" w:styleId="1051">
    <w:name w:val="默认段落字体"/>
    <w:next w:val="1051"/>
    <w:link w:val="1041"/>
    <w:uiPriority w:val="1"/>
    <w:unhideWhenUsed/>
    <w:qFormat/>
  </w:style>
  <w:style w:type="table" w:styleId="1052">
    <w:name w:val="普通表格"/>
    <w:next w:val="1052"/>
    <w:link w:val="1041"/>
    <w:uiPriority w:val="99"/>
    <w:unhideWhenUsed/>
    <w:qFormat/>
    <w:tblPr/>
  </w:style>
  <w:style w:type="character" w:styleId="1053">
    <w:name w:val="标题 1 字符"/>
    <w:next w:val="1053"/>
    <w:link w:val="1042"/>
    <w:qFormat/>
    <w:rPr>
      <w:rFonts w:ascii="宋体"/>
      <w:b/>
      <w:sz w:val="32"/>
    </w:rPr>
  </w:style>
  <w:style w:type="character" w:styleId="1054">
    <w:name w:val="标题 2 字符"/>
    <w:next w:val="1054"/>
    <w:link w:val="1043"/>
    <w:qFormat/>
    <w:rPr>
      <w:rFonts w:ascii="Arial" w:hAnsi="Arial" w:eastAsia="黑体"/>
      <w:b/>
      <w:sz w:val="30"/>
      <w:lang w:val="en-US" w:eastAsia="zh-CN" w:bidi="ar-SA"/>
    </w:rPr>
  </w:style>
  <w:style w:type="paragraph" w:styleId="1055">
    <w:name w:val="正文缩进"/>
    <w:basedOn w:val="1041"/>
    <w:next w:val="1041"/>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4"/>
    <w:qFormat/>
    <w:rPr>
      <w:rFonts w:ascii="宋体" w:eastAsia="宋体"/>
      <w:b/>
      <w:sz w:val="24"/>
      <w:u w:val="single"/>
      <w:lang w:val="en-US" w:eastAsia="zh-CN" w:bidi="ar-SA"/>
    </w:rPr>
  </w:style>
  <w:style w:type="character" w:styleId="1058">
    <w:name w:val="标题 4 字符"/>
    <w:next w:val="1058"/>
    <w:link w:val="1045"/>
    <w:qFormat/>
    <w:rPr>
      <w:rFonts w:ascii="Arial" w:hAnsi="Arial" w:eastAsia="黑体"/>
      <w:b/>
      <w:sz w:val="28"/>
    </w:rPr>
  </w:style>
  <w:style w:type="character" w:styleId="1059">
    <w:name w:val="标题 5 字符"/>
    <w:next w:val="1059"/>
    <w:link w:val="1046"/>
    <w:qFormat/>
    <w:rPr>
      <w:b/>
      <w:sz w:val="28"/>
    </w:rPr>
  </w:style>
  <w:style w:type="character" w:styleId="1060">
    <w:name w:val="标题 6 字符"/>
    <w:next w:val="1060"/>
    <w:link w:val="1047"/>
    <w:qFormat/>
    <w:rPr>
      <w:rFonts w:ascii="Arial" w:hAnsi="Arial" w:eastAsia="黑体"/>
      <w:b/>
      <w:sz w:val="24"/>
    </w:rPr>
  </w:style>
  <w:style w:type="character" w:styleId="1061">
    <w:name w:val="标题 7 字符"/>
    <w:next w:val="1061"/>
    <w:link w:val="1048"/>
    <w:qFormat/>
    <w:rPr>
      <w:b/>
      <w:sz w:val="24"/>
    </w:rPr>
  </w:style>
  <w:style w:type="character" w:styleId="1062">
    <w:name w:val="标题 8 字符"/>
    <w:next w:val="1062"/>
    <w:link w:val="1049"/>
    <w:qFormat/>
    <w:rPr>
      <w:rFonts w:ascii="Arial" w:hAnsi="Arial" w:eastAsia="黑体"/>
      <w:sz w:val="24"/>
    </w:rPr>
  </w:style>
  <w:style w:type="character" w:styleId="1063">
    <w:name w:val="标题 9 字符"/>
    <w:next w:val="1063"/>
    <w:link w:val="1050"/>
    <w:qFormat/>
    <w:rPr>
      <w:rFonts w:ascii="Arial" w:hAnsi="Arial" w:eastAsia="黑体"/>
      <w:sz w:val="21"/>
    </w:rPr>
  </w:style>
  <w:style w:type="paragraph" w:styleId="1064">
    <w:name w:val="目录 7"/>
    <w:basedOn w:val="1041"/>
    <w:next w:val="1041"/>
    <w:link w:val="1041"/>
    <w:qFormat/>
    <w:pPr>
      <w:ind w:left="2520"/>
    </w:pPr>
  </w:style>
  <w:style w:type="paragraph" w:styleId="1065">
    <w:name w:val="题注"/>
    <w:basedOn w:val="1041"/>
    <w:next w:val="1041"/>
    <w:link w:val="1041"/>
    <w:qFormat/>
    <w:pPr>
      <w:spacing w:line="480" w:lineRule="auto"/>
    </w:pPr>
    <w:rPr>
      <w:rFonts w:ascii="华文中宋" w:hAnsi="华文中宋" w:eastAsia="华文中宋"/>
      <w:sz w:val="36"/>
      <w:szCs w:val="20"/>
    </w:rPr>
  </w:style>
  <w:style w:type="paragraph" w:styleId="1066">
    <w:name w:val="索引 5"/>
    <w:basedOn w:val="1041"/>
    <w:next w:val="1041"/>
    <w:link w:val="1041"/>
    <w:uiPriority w:val="99"/>
    <w:unhideWhenUsed/>
    <w:qFormat/>
    <w:pPr>
      <w:ind w:left="800"/>
    </w:pPr>
  </w:style>
  <w:style w:type="paragraph" w:styleId="1067">
    <w:name w:val="文档结构图"/>
    <w:basedOn w:val="1041"/>
    <w:next w:val="1041"/>
    <w:link w:val="1068"/>
    <w:qFormat/>
    <w:pPr>
      <w:shd w:val="clear" w:color="auto" w:fill="000080"/>
    </w:pPr>
  </w:style>
  <w:style w:type="character" w:styleId="1068">
    <w:name w:val="文档结构图 字符"/>
    <w:next w:val="1068"/>
    <w:link w:val="1067"/>
    <w:qFormat/>
    <w:rPr>
      <w:sz w:val="21"/>
      <w:szCs w:val="24"/>
      <w:shd w:val="clear" w:color="auto" w:fill="000080"/>
    </w:rPr>
  </w:style>
  <w:style w:type="paragraph" w:styleId="1069">
    <w:name w:val="批注文字"/>
    <w:basedOn w:val="1041"/>
    <w:next w:val="1069"/>
    <w:link w:val="1070"/>
    <w:uiPriority w:val="99"/>
    <w:qFormat/>
    <w:pPr>
      <w:jc w:val="left"/>
    </w:pPr>
  </w:style>
  <w:style w:type="character" w:styleId="1070">
    <w:name w:val="批注文字 字符1"/>
    <w:next w:val="1070"/>
    <w:link w:val="1069"/>
    <w:uiPriority w:val="99"/>
    <w:qFormat/>
    <w:rPr>
      <w:sz w:val="21"/>
      <w:szCs w:val="24"/>
    </w:rPr>
  </w:style>
  <w:style w:type="paragraph" w:styleId="1071">
    <w:name w:val="正文文本 3"/>
    <w:basedOn w:val="1041"/>
    <w:next w:val="1071"/>
    <w:link w:val="1072"/>
    <w:qFormat/>
    <w:pPr>
      <w:spacing w:after="120"/>
    </w:pPr>
    <w:rPr>
      <w:sz w:val="16"/>
      <w:szCs w:val="16"/>
    </w:rPr>
  </w:style>
  <w:style w:type="character" w:styleId="1072">
    <w:name w:val="正文文本 3 字符"/>
    <w:next w:val="1072"/>
    <w:link w:val="1071"/>
    <w:qFormat/>
    <w:rPr>
      <w:sz w:val="16"/>
      <w:szCs w:val="16"/>
    </w:rPr>
  </w:style>
  <w:style w:type="paragraph" w:styleId="1073">
    <w:name w:val="正文文本"/>
    <w:basedOn w:val="1041"/>
    <w:next w:val="1041"/>
    <w:link w:val="1074"/>
    <w:qFormat/>
    <w:pPr>
      <w:spacing w:before="120" w:line="22" w:lineRule="atLeast"/>
      <w:tabs>
        <w:tab w:val="left" w:pos="567" w:leader="none"/>
      </w:tabs>
    </w:pPr>
    <w:rPr>
      <w:rFonts w:ascii="宋体" w:hAnsi="宋体"/>
      <w:sz w:val="24"/>
    </w:rPr>
  </w:style>
  <w:style w:type="character" w:styleId="1074">
    <w:name w:val="正文文本 字符"/>
    <w:next w:val="1074"/>
    <w:link w:val="1073"/>
    <w:qFormat/>
    <w:rPr>
      <w:rFonts w:ascii="宋体" w:hAnsi="宋体"/>
      <w:sz w:val="24"/>
      <w:szCs w:val="24"/>
    </w:rPr>
  </w:style>
  <w:style w:type="paragraph" w:styleId="1075">
    <w:name w:val="正文文本缩进"/>
    <w:basedOn w:val="1041"/>
    <w:next w:val="1041"/>
    <w:link w:val="1076"/>
    <w:qFormat/>
    <w:pPr>
      <w:ind w:firstLine="570"/>
      <w:spacing w:line="360" w:lineRule="auto"/>
    </w:pPr>
    <w:rPr>
      <w:sz w:val="24"/>
    </w:rPr>
  </w:style>
  <w:style w:type="character" w:styleId="1076">
    <w:name w:val="正文文本缩进 字符"/>
    <w:next w:val="1076"/>
    <w:link w:val="1075"/>
    <w:qFormat/>
    <w:rPr>
      <w:rFonts w:eastAsia="宋体"/>
      <w:sz w:val="24"/>
      <w:szCs w:val="24"/>
      <w:lang w:val="en-US" w:eastAsia="zh-CN" w:bidi="ar-SA"/>
    </w:rPr>
  </w:style>
  <w:style w:type="paragraph" w:styleId="1077">
    <w:name w:val="列表 2"/>
    <w:basedOn w:val="1041"/>
    <w:next w:val="1077"/>
    <w:link w:val="1041"/>
    <w:qFormat/>
    <w:pPr>
      <w:ind w:left="100" w:hanging="200"/>
    </w:pPr>
  </w:style>
  <w:style w:type="paragraph" w:styleId="1078">
    <w:name w:val="文本块"/>
    <w:basedOn w:val="1041"/>
    <w:next w:val="1078"/>
    <w:link w:val="1041"/>
    <w:qFormat/>
    <w:pPr>
      <w:ind w:left="480" w:right="-341" w:firstLine="513"/>
      <w:widowControl/>
    </w:pPr>
    <w:rPr>
      <w:sz w:val="24"/>
      <w:szCs w:val="20"/>
    </w:rPr>
  </w:style>
  <w:style w:type="paragraph" w:styleId="1079">
    <w:name w:val="目录 5"/>
    <w:basedOn w:val="1041"/>
    <w:next w:val="1041"/>
    <w:link w:val="1041"/>
    <w:qFormat/>
    <w:pPr>
      <w:ind w:left="1680"/>
    </w:pPr>
  </w:style>
  <w:style w:type="paragraph" w:styleId="1080">
    <w:name w:val="目录 3"/>
    <w:basedOn w:val="1041"/>
    <w:next w:val="1041"/>
    <w:link w:val="1041"/>
    <w:uiPriority w:val="39"/>
    <w:qFormat/>
    <w:pPr>
      <w:ind w:left="840"/>
    </w:pPr>
  </w:style>
  <w:style w:type="paragraph" w:styleId="1081">
    <w:name w:val="纯文本"/>
    <w:basedOn w:val="1041"/>
    <w:next w:val="1081"/>
    <w:link w:val="1082"/>
    <w:qFormat/>
    <w:rPr>
      <w:rFonts w:hint="eastAsia" w:ascii="宋体" w:hAnsi="Courier New"/>
      <w:szCs w:val="20"/>
    </w:rPr>
  </w:style>
  <w:style w:type="character" w:styleId="1082">
    <w:name w:val="纯文本 字符2"/>
    <w:next w:val="1082"/>
    <w:link w:val="1081"/>
    <w:qFormat/>
    <w:rPr>
      <w:rFonts w:hint="eastAsia" w:ascii="宋体" w:hAnsi="Courier New" w:eastAsia="宋体" w:cs="宋体"/>
      <w:sz w:val="21"/>
    </w:rPr>
  </w:style>
  <w:style w:type="paragraph" w:styleId="1083">
    <w:name w:val="目录 8"/>
    <w:basedOn w:val="1041"/>
    <w:next w:val="1041"/>
    <w:link w:val="1041"/>
    <w:qFormat/>
    <w:pPr>
      <w:ind w:left="2940"/>
    </w:pPr>
  </w:style>
  <w:style w:type="paragraph" w:styleId="1084">
    <w:name w:val="日期"/>
    <w:basedOn w:val="1041"/>
    <w:next w:val="1041"/>
    <w:link w:val="1085"/>
    <w:qFormat/>
    <w:pPr>
      <w:ind w:left="100"/>
    </w:pPr>
    <w:rPr>
      <w:rFonts w:ascii="仿宋_GB2312" w:hAnsi="宋体" w:eastAsia="仿宋_GB2312"/>
      <w:color w:val="000000"/>
      <w:sz w:val="24"/>
    </w:rPr>
  </w:style>
  <w:style w:type="character" w:styleId="1085">
    <w:name w:val="日期 字符"/>
    <w:next w:val="1085"/>
    <w:link w:val="1084"/>
    <w:qFormat/>
    <w:rPr>
      <w:rFonts w:ascii="仿宋_GB2312" w:hAnsi="宋体" w:eastAsia="仿宋_GB2312"/>
      <w:color w:val="000000"/>
      <w:sz w:val="24"/>
      <w:szCs w:val="24"/>
    </w:rPr>
  </w:style>
  <w:style w:type="paragraph" w:styleId="1086">
    <w:name w:val="正文文本缩进 2"/>
    <w:basedOn w:val="1041"/>
    <w:next w:val="1086"/>
    <w:link w:val="1087"/>
    <w:qFormat/>
    <w:pPr>
      <w:ind w:firstLine="480"/>
    </w:pPr>
    <w:rPr>
      <w:rFonts w:ascii="仿宋_GB2312" w:eastAsia="仿宋_GB2312"/>
      <w:sz w:val="24"/>
    </w:rPr>
  </w:style>
  <w:style w:type="character" w:styleId="1087">
    <w:name w:val="正文文本缩进 2 字符"/>
    <w:next w:val="1087"/>
    <w:link w:val="1086"/>
    <w:qFormat/>
    <w:rPr>
      <w:rFonts w:ascii="仿宋_GB2312" w:eastAsia="仿宋_GB2312"/>
      <w:sz w:val="24"/>
      <w:szCs w:val="24"/>
    </w:rPr>
  </w:style>
  <w:style w:type="paragraph" w:styleId="1088">
    <w:name w:val="批注框文本"/>
    <w:basedOn w:val="1041"/>
    <w:next w:val="1088"/>
    <w:link w:val="1089"/>
    <w:qFormat/>
    <w:rPr>
      <w:sz w:val="18"/>
      <w:szCs w:val="18"/>
    </w:rPr>
  </w:style>
  <w:style w:type="character" w:styleId="1089">
    <w:name w:val="批注框文本 字符"/>
    <w:next w:val="1089"/>
    <w:link w:val="1088"/>
    <w:qFormat/>
    <w:rPr>
      <w:sz w:val="18"/>
      <w:szCs w:val="18"/>
    </w:rPr>
  </w:style>
  <w:style w:type="paragraph" w:styleId="1090">
    <w:name w:val="页脚"/>
    <w:basedOn w:val="1041"/>
    <w:next w:val="1090"/>
    <w:link w:val="1091"/>
    <w:uiPriority w:val="99"/>
    <w:qFormat/>
    <w:pPr>
      <w:jc w:val="left"/>
      <w:tabs>
        <w:tab w:val="center" w:pos="4153" w:leader="none"/>
        <w:tab w:val="right" w:pos="8306" w:leader="none"/>
      </w:tabs>
    </w:pPr>
    <w:rPr>
      <w:rFonts w:ascii="宋体"/>
      <w:sz w:val="18"/>
      <w:szCs w:val="20"/>
    </w:rPr>
  </w:style>
  <w:style w:type="character" w:styleId="1091">
    <w:name w:val="页脚 字符"/>
    <w:next w:val="1091"/>
    <w:link w:val="1090"/>
    <w:uiPriority w:val="99"/>
    <w:qFormat/>
    <w:rPr>
      <w:rFonts w:ascii="宋体" w:eastAsia="宋体"/>
      <w:sz w:val="18"/>
      <w:lang w:val="en-US" w:eastAsia="zh-CN" w:bidi="ar-SA"/>
    </w:rPr>
  </w:style>
  <w:style w:type="paragraph" w:styleId="1092">
    <w:name w:val="页眉"/>
    <w:basedOn w:val="1041"/>
    <w:next w:val="1092"/>
    <w:link w:val="1093"/>
    <w:qFormat/>
    <w:pPr>
      <w:jc w:val="center"/>
      <w:tabs>
        <w:tab w:val="center" w:pos="4153" w:leader="none"/>
        <w:tab w:val="right" w:pos="8306" w:leader="none"/>
      </w:tabs>
      <w:pBdr>
        <w:bottom w:val="single" w:color="000000" w:sz="6" w:space="1"/>
      </w:pBdr>
    </w:pPr>
    <w:rPr>
      <w:sz w:val="18"/>
      <w:szCs w:val="18"/>
    </w:rPr>
  </w:style>
  <w:style w:type="character" w:styleId="1093">
    <w:name w:val="页眉 字符"/>
    <w:next w:val="1093"/>
    <w:link w:val="1092"/>
    <w:qFormat/>
    <w:rPr>
      <w:rFonts w:eastAsia="宋体"/>
      <w:sz w:val="18"/>
      <w:szCs w:val="18"/>
      <w:lang w:val="en-US" w:eastAsia="zh-CN" w:bidi="ar-SA"/>
    </w:rPr>
  </w:style>
  <w:style w:type="paragraph" w:styleId="1094">
    <w:name w:val="目录 1"/>
    <w:basedOn w:val="1041"/>
    <w:next w:val="1041"/>
    <w:link w:val="1041"/>
    <w:uiPriority w:val="39"/>
    <w:qFormat/>
    <w:pPr>
      <w:spacing w:line="300" w:lineRule="auto"/>
      <w:tabs>
        <w:tab w:val="left" w:pos="1050" w:leader="none"/>
        <w:tab w:val="right" w:pos="8937" w:leader="dot"/>
      </w:tabs>
    </w:pPr>
    <w:rPr>
      <w:rFonts w:ascii="宋体" w:hAnsi="宋体"/>
      <w:b/>
      <w:sz w:val="24"/>
    </w:rPr>
  </w:style>
  <w:style w:type="paragraph" w:styleId="1095">
    <w:name w:val="目录 4"/>
    <w:basedOn w:val="1041"/>
    <w:next w:val="1041"/>
    <w:link w:val="1041"/>
    <w:qFormat/>
    <w:pPr>
      <w:ind w:left="1260"/>
    </w:pPr>
  </w:style>
  <w:style w:type="paragraph" w:styleId="1096">
    <w:name w:val="脚注文本"/>
    <w:basedOn w:val="1041"/>
    <w:next w:val="1066"/>
    <w:link w:val="1041"/>
    <w:qFormat/>
    <w:pPr>
      <w:ind w:firstLine="425"/>
      <w:jc w:val="left"/>
      <w:spacing w:before="120" w:line="360" w:lineRule="auto"/>
    </w:pPr>
    <w:rPr>
      <w:sz w:val="18"/>
      <w:szCs w:val="20"/>
    </w:rPr>
  </w:style>
  <w:style w:type="paragraph" w:styleId="1097">
    <w:name w:val="目录 6"/>
    <w:basedOn w:val="1041"/>
    <w:next w:val="1041"/>
    <w:link w:val="1041"/>
    <w:qFormat/>
    <w:pPr>
      <w:ind w:left="2100"/>
    </w:pPr>
  </w:style>
  <w:style w:type="paragraph" w:styleId="1098">
    <w:name w:val="正文文本缩进 3"/>
    <w:basedOn w:val="1041"/>
    <w:next w:val="1098"/>
    <w:link w:val="1099"/>
    <w:qFormat/>
    <w:pPr>
      <w:ind w:left="720" w:firstLine="480"/>
      <w:jc w:val="left"/>
      <w:spacing w:before="120" w:line="22" w:lineRule="atLeast"/>
    </w:pPr>
    <w:rPr>
      <w:rFonts w:ascii="宋体"/>
      <w:sz w:val="24"/>
      <w:szCs w:val="20"/>
    </w:rPr>
  </w:style>
  <w:style w:type="character" w:styleId="1099">
    <w:name w:val="正文文本缩进 3 字符"/>
    <w:next w:val="1099"/>
    <w:link w:val="1098"/>
    <w:qFormat/>
    <w:rPr>
      <w:rFonts w:ascii="宋体"/>
      <w:sz w:val="24"/>
    </w:rPr>
  </w:style>
  <w:style w:type="paragraph" w:styleId="1100">
    <w:name w:val="目录 2"/>
    <w:basedOn w:val="1041"/>
    <w:next w:val="1041"/>
    <w:link w:val="1041"/>
    <w:uiPriority w:val="39"/>
    <w:qFormat/>
    <w:pPr>
      <w:ind w:left="420"/>
      <w:spacing w:line="312" w:lineRule="auto"/>
      <w:tabs>
        <w:tab w:val="right" w:pos="8937" w:leader="dot"/>
      </w:tabs>
    </w:pPr>
  </w:style>
  <w:style w:type="paragraph" w:styleId="1101">
    <w:name w:val="目录 9"/>
    <w:basedOn w:val="1041"/>
    <w:next w:val="1041"/>
    <w:link w:val="1041"/>
    <w:qFormat/>
    <w:pPr>
      <w:ind w:left="3360"/>
    </w:pPr>
  </w:style>
  <w:style w:type="paragraph" w:styleId="1102">
    <w:name w:val="HTML 预设格式"/>
    <w:basedOn w:val="1041"/>
    <w:next w:val="1102"/>
    <w:link w:val="11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3">
    <w:name w:val="HTML 预设格式 字符"/>
    <w:next w:val="1103"/>
    <w:link w:val="1102"/>
    <w:qFormat/>
    <w:rPr>
      <w:rFonts w:ascii="宋体" w:hAnsi="宋体" w:cs="宋体"/>
      <w:sz w:val="24"/>
      <w:szCs w:val="24"/>
    </w:rPr>
  </w:style>
  <w:style w:type="paragraph" w:styleId="1104">
    <w:name w:val="普通(网站)"/>
    <w:basedOn w:val="1041"/>
    <w:next w:val="1104"/>
    <w:link w:val="1041"/>
    <w:uiPriority w:val="99"/>
    <w:unhideWhenUsed/>
    <w:qFormat/>
    <w:pPr>
      <w:jc w:val="left"/>
      <w:spacing w:before="100" w:beforeAutospacing="1" w:after="100" w:afterAutospacing="1"/>
      <w:widowControl/>
    </w:pPr>
    <w:rPr>
      <w:rFonts w:ascii="宋体" w:hAnsi="宋体" w:cs="宋体"/>
      <w:sz w:val="24"/>
    </w:rPr>
  </w:style>
  <w:style w:type="paragraph" w:styleId="1105">
    <w:name w:val="索引 1"/>
    <w:basedOn w:val="1041"/>
    <w:next w:val="1041"/>
    <w:link w:val="1041"/>
    <w:qFormat/>
    <w:rPr>
      <w:szCs w:val="20"/>
    </w:rPr>
  </w:style>
  <w:style w:type="paragraph" w:styleId="1106">
    <w:name w:val="标题"/>
    <w:basedOn w:val="1041"/>
    <w:next w:val="1106"/>
    <w:link w:val="1107"/>
    <w:qFormat/>
    <w:pPr>
      <w:jc w:val="center"/>
      <w:outlineLvl w:val="0"/>
    </w:pPr>
    <w:rPr>
      <w:b/>
      <w:sz w:val="32"/>
      <w:szCs w:val="20"/>
    </w:rPr>
  </w:style>
  <w:style w:type="character" w:styleId="1107">
    <w:name w:val="标题 字符"/>
    <w:next w:val="1107"/>
    <w:link w:val="1106"/>
    <w:qFormat/>
    <w:rPr>
      <w:b/>
      <w:sz w:val="32"/>
    </w:rPr>
  </w:style>
  <w:style w:type="paragraph" w:styleId="1108">
    <w:name w:val="批注主题"/>
    <w:basedOn w:val="1069"/>
    <w:next w:val="1069"/>
    <w:link w:val="1109"/>
    <w:qFormat/>
    <w:rPr>
      <w:b/>
      <w:bCs/>
    </w:rPr>
  </w:style>
  <w:style w:type="character" w:styleId="1109">
    <w:name w:val="批注主题 字符"/>
    <w:next w:val="1109"/>
    <w:link w:val="1108"/>
    <w:qFormat/>
    <w:rPr>
      <w:rFonts w:ascii="Times New Roman" w:hAnsi="Times New Roman" w:eastAsia="宋体" w:cs="Times New Roman"/>
      <w:b/>
      <w:bCs/>
      <w:sz w:val="21"/>
      <w:szCs w:val="24"/>
      <w:lang w:val="en-US" w:eastAsia="zh-CN" w:bidi="ar-SA"/>
    </w:rPr>
  </w:style>
  <w:style w:type="paragraph" w:styleId="1110">
    <w:name w:val="正文首行缩进 2"/>
    <w:basedOn w:val="1075"/>
    <w:next w:val="1041"/>
    <w:link w:val="1111"/>
    <w:qFormat/>
    <w:pPr>
      <w:ind w:left="420" w:firstLine="420"/>
      <w:spacing w:after="120" w:line="480" w:lineRule="exact"/>
    </w:pPr>
    <w:rPr>
      <w:szCs w:val="20"/>
    </w:rPr>
  </w:style>
  <w:style w:type="character" w:styleId="1111">
    <w:name w:val="正文首行缩进 2 字符"/>
    <w:next w:val="1111"/>
    <w:link w:val="1110"/>
    <w:qFormat/>
    <w:rPr>
      <w:rFonts w:eastAsia="宋体"/>
      <w:sz w:val="24"/>
      <w:szCs w:val="24"/>
      <w:lang w:val="en-US" w:eastAsia="zh-CN" w:bidi="ar-SA"/>
    </w:rPr>
  </w:style>
  <w:style w:type="table" w:styleId="1112">
    <w:name w:val="网格型"/>
    <w:basedOn w:val="1052"/>
    <w:next w:val="1112"/>
    <w:link w:val="1041"/>
    <w:uiPriority w:val="39"/>
    <w:qFormat/>
    <w:tblPr/>
  </w:style>
  <w:style w:type="table" w:styleId="1113">
    <w:name w:val="中等深浅网格 1 - 强调文字颜色 2"/>
    <w:basedOn w:val="1052"/>
    <w:next w:val="1113"/>
    <w:link w:val="1041"/>
    <w:qFormat/>
    <w:rPr>
      <w:sz w:val="21"/>
      <w:szCs w:val="24"/>
    </w:rPr>
    <w:tblPr/>
  </w:style>
  <w:style w:type="character" w:styleId="1114">
    <w:name w:val="要点"/>
    <w:next w:val="1114"/>
    <w:link w:val="1041"/>
    <w:qFormat/>
    <w:rPr>
      <w:b/>
      <w:bCs/>
    </w:rPr>
  </w:style>
  <w:style w:type="character" w:styleId="1115">
    <w:name w:val="页码"/>
    <w:next w:val="1115"/>
    <w:link w:val="1041"/>
    <w:qFormat/>
  </w:style>
  <w:style w:type="character" w:styleId="1116">
    <w:name w:val="已访问的超链接"/>
    <w:next w:val="1116"/>
    <w:link w:val="1041"/>
    <w:qFormat/>
    <w:rPr>
      <w:color w:val="800080"/>
      <w:u w:val="single"/>
    </w:rPr>
  </w:style>
  <w:style w:type="character" w:styleId="1117">
    <w:name w:val="强调"/>
    <w:next w:val="1117"/>
    <w:link w:val="1041"/>
    <w:qFormat/>
    <w:rPr>
      <w:color w:val="cc0033"/>
    </w:rPr>
  </w:style>
  <w:style w:type="character" w:styleId="1118">
    <w:name w:val="超链接"/>
    <w:next w:val="1118"/>
    <w:link w:val="1041"/>
    <w:uiPriority w:val="99"/>
    <w:qFormat/>
    <w:rPr>
      <w:color w:val="0000ff"/>
      <w:u w:val="single"/>
    </w:rPr>
  </w:style>
  <w:style w:type="character" w:styleId="1119">
    <w:name w:val="批注引用"/>
    <w:next w:val="1119"/>
    <w:link w:val="1041"/>
    <w:uiPriority w:val="99"/>
    <w:qFormat/>
    <w:rPr>
      <w:sz w:val="21"/>
      <w:szCs w:val="21"/>
    </w:rPr>
  </w:style>
  <w:style w:type="character" w:styleId="1120">
    <w:name w:val="HTML 引文"/>
    <w:next w:val="1120"/>
    <w:link w:val="1041"/>
    <w:qFormat/>
    <w:rPr>
      <w:i/>
      <w:iCs/>
    </w:rPr>
  </w:style>
  <w:style w:type="character" w:styleId="1121">
    <w:name w:val="批注文字 字符"/>
    <w:next w:val="1121"/>
    <w:link w:val="1041"/>
    <w:uiPriority w:val="99"/>
    <w:qFormat/>
    <w:rPr>
      <w:rFonts w:ascii="Times New Roman" w:hAnsi="Times New Roman" w:eastAsia="宋体" w:cs="Times New Roman"/>
      <w:sz w:val="24"/>
      <w:lang w:val="en-US" w:eastAsia="zh-CN" w:bidi="ar-SA"/>
    </w:rPr>
  </w:style>
  <w:style w:type="paragraph" w:styleId="1122">
    <w:name w:val="正文_2_0"/>
    <w:next w:val="1122"/>
    <w:link w:val="1041"/>
    <w:qFormat/>
    <w:pPr>
      <w:spacing w:line="440" w:lineRule="exact"/>
      <w:widowControl w:val="off"/>
    </w:pPr>
    <w:rPr>
      <w:rFonts w:ascii="Calibri" w:hAnsi="Calibri"/>
      <w:lang w:val="en-US" w:eastAsia="zh-CN" w:bidi="ar-SA"/>
    </w:rPr>
  </w:style>
  <w:style w:type="paragraph" w:styleId="1123">
    <w:name w:val="Normal_0"/>
    <w:next w:val="1073"/>
    <w:link w:val="1041"/>
    <w:qFormat/>
    <w:pPr>
      <w:jc w:val="both"/>
      <w:widowControl w:val="off"/>
    </w:pPr>
    <w:rPr>
      <w:rFonts w:ascii="Calibri" w:hAnsi="Calibri" w:eastAsia="Times New Roman"/>
      <w:lang w:val="en-US" w:eastAsia="zh-CN" w:bidi="ar-SA"/>
    </w:rPr>
  </w:style>
  <w:style w:type="character" w:styleId="1124">
    <w:name w:val="street-address"/>
    <w:next w:val="1124"/>
    <w:link w:val="1041"/>
    <w:qFormat/>
  </w:style>
  <w:style w:type="character" w:styleId="1125">
    <w:name w:val="注释 Char"/>
    <w:next w:val="1125"/>
    <w:link w:val="1126"/>
    <w:qFormat/>
    <w:rPr>
      <w:rFonts w:ascii="宋体" w:hAnsi="宋体"/>
      <w:sz w:val="21"/>
      <w:szCs w:val="21"/>
    </w:rPr>
  </w:style>
  <w:style w:type="paragraph" w:styleId="1126">
    <w:name w:val="注释"/>
    <w:basedOn w:val="1041"/>
    <w:next w:val="1126"/>
    <w:link w:val="1125"/>
    <w:qFormat/>
    <w:pPr>
      <w:ind w:left="420" w:hanging="420"/>
      <w:jc w:val="left"/>
    </w:pPr>
    <w:rPr>
      <w:rFonts w:ascii="宋体" w:hAnsi="宋体"/>
      <w:szCs w:val="21"/>
    </w:rPr>
  </w:style>
  <w:style w:type="character" w:styleId="1127">
    <w:name w:val="locality"/>
    <w:next w:val="1127"/>
    <w:link w:val="1041"/>
    <w:qFormat/>
  </w:style>
  <w:style w:type="character" w:styleId="1128">
    <w:name w:val="标题 Char"/>
    <w:next w:val="1128"/>
    <w:link w:val="1041"/>
    <w:qFormat/>
    <w:rPr>
      <w:b/>
      <w:sz w:val="32"/>
    </w:rPr>
  </w:style>
  <w:style w:type="character" w:styleId="1129">
    <w:name w:val="标题 2 Char"/>
    <w:next w:val="1129"/>
    <w:link w:val="1041"/>
    <w:qFormat/>
    <w:rPr>
      <w:rFonts w:ascii="Arial" w:hAnsi="Arial" w:eastAsia="黑体"/>
      <w:b/>
      <w:sz w:val="30"/>
      <w:lang w:val="en-US" w:eastAsia="zh-CN" w:bidi="ar-SA"/>
    </w:rPr>
  </w:style>
  <w:style w:type="character" w:styleId="1130">
    <w:name w:val="纯文本 Char1"/>
    <w:next w:val="1130"/>
    <w:link w:val="1041"/>
    <w:qFormat/>
    <w:rPr>
      <w:rFonts w:ascii="宋体" w:hAnsi="Courier New" w:eastAsia="宋体"/>
      <w:sz w:val="21"/>
      <w:lang w:val="en-US" w:eastAsia="zh-CN" w:bidi="ar-SA"/>
    </w:rPr>
  </w:style>
  <w:style w:type="character" w:styleId="1131">
    <w:name w:val="Char Char11"/>
    <w:next w:val="1131"/>
    <w:link w:val="1041"/>
    <w:qFormat/>
    <w:rPr>
      <w:rFonts w:ascii="宋体" w:eastAsia="宋体"/>
      <w:b/>
      <w:sz w:val="24"/>
      <w:u w:val="single"/>
      <w:lang w:val="en-US" w:eastAsia="zh-CN" w:bidi="ar-SA"/>
    </w:rPr>
  </w:style>
  <w:style w:type="character" w:styleId="1132">
    <w:name w:val="页脚 Char"/>
    <w:next w:val="1132"/>
    <w:link w:val="1041"/>
    <w:qFormat/>
    <w:rPr>
      <w:rFonts w:ascii="宋体" w:eastAsia="宋体"/>
      <w:sz w:val="18"/>
      <w:lang w:val="en-US" w:eastAsia="zh-CN" w:bidi="ar-SA"/>
    </w:rPr>
  </w:style>
  <w:style w:type="character" w:styleId="1133">
    <w:name w:val="列出段落 Char"/>
    <w:next w:val="1133"/>
    <w:link w:val="1041"/>
    <w:qFormat/>
    <w:rPr>
      <w:rFonts w:ascii="Calibri" w:hAnsi="Calibri" w:eastAsia="宋体"/>
      <w:sz w:val="21"/>
      <w:szCs w:val="22"/>
      <w:lang w:val="en-US" w:eastAsia="zh-CN" w:bidi="ar-SA"/>
    </w:rPr>
  </w:style>
  <w:style w:type="character" w:styleId="1134">
    <w:name w:val="纯文本 字符1"/>
    <w:next w:val="1134"/>
    <w:link w:val="1041"/>
    <w:qFormat/>
    <w:rPr>
      <w:rFonts w:ascii="宋体" w:hAnsi="Courier New"/>
    </w:rPr>
  </w:style>
  <w:style w:type="character" w:styleId="1135">
    <w:name w:val="chanpin1"/>
    <w:next w:val="1135"/>
    <w:link w:val="1041"/>
    <w:qFormat/>
    <w:rPr>
      <w:rFonts w:ascii="ˎ̥" w:hAnsi="ˎ̥"/>
      <w:color w:val="000000"/>
      <w:sz w:val="20"/>
      <w:szCs w:val="20"/>
      <w:u w:val="none"/>
    </w:rPr>
  </w:style>
  <w:style w:type="character" w:styleId="1136">
    <w:name w:val="apple-style-span"/>
    <w:next w:val="1136"/>
    <w:link w:val="1041"/>
    <w:qFormat/>
    <w:rPr>
      <w:rFonts w:cs="Times New Roman"/>
    </w:rPr>
  </w:style>
  <w:style w:type="character" w:styleId="1137">
    <w:name w:val="c21"/>
    <w:next w:val="1137"/>
    <w:link w:val="1041"/>
    <w:qFormat/>
    <w:rPr>
      <w:rFonts w:ascii="ˎ̥" w:hAnsi="ˎ̥"/>
      <w:color w:val="000000"/>
      <w:sz w:val="20"/>
      <w:szCs w:val="20"/>
      <w:u w:val="none"/>
    </w:rPr>
  </w:style>
  <w:style w:type="character" w:styleId="1138">
    <w:name w:val="正文缩进 Char Char"/>
    <w:next w:val="1138"/>
    <w:link w:val="1139"/>
    <w:qFormat/>
    <w:rPr>
      <w:rFonts w:ascii="宋体" w:eastAsia="宋体"/>
      <w:color w:val="000000"/>
      <w:sz w:val="28"/>
      <w:lang w:bidi="ar-SA"/>
    </w:rPr>
  </w:style>
  <w:style w:type="paragraph" w:styleId="1139">
    <w:name w:val="正文缩进1"/>
    <w:basedOn w:val="1041"/>
    <w:next w:val="1139"/>
    <w:link w:val="1138"/>
    <w:qFormat/>
    <w:pPr>
      <w:ind w:firstLine="567"/>
      <w:spacing w:line="480" w:lineRule="exact"/>
      <w:widowControl/>
    </w:pPr>
    <w:rPr>
      <w:rFonts w:ascii="宋体"/>
      <w:color w:val="000000"/>
      <w:sz w:val="28"/>
      <w:szCs w:val="20"/>
    </w:rPr>
  </w:style>
  <w:style w:type="character" w:styleId="1140">
    <w:name w:val="标题 2 Char Char"/>
    <w:next w:val="1140"/>
    <w:link w:val="1041"/>
    <w:qFormat/>
    <w:rPr>
      <w:rFonts w:ascii="Arial" w:hAnsi="Arial" w:eastAsia="黑体"/>
      <w:b/>
      <w:bCs/>
      <w:sz w:val="32"/>
      <w:szCs w:val="32"/>
      <w:lang w:val="en-US" w:eastAsia="zh-CN" w:bidi="ar-SA"/>
    </w:rPr>
  </w:style>
  <w:style w:type="character" w:styleId="1141">
    <w:name w:val="段1 Char"/>
    <w:next w:val="1141"/>
    <w:link w:val="1041"/>
    <w:qFormat/>
    <w:rPr>
      <w:rFonts w:ascii="宋体" w:eastAsia="宋体"/>
      <w:sz w:val="24"/>
      <w:lang w:val="en-US" w:eastAsia="zh-CN" w:bidi="ar-SA"/>
    </w:rPr>
  </w:style>
  <w:style w:type="character" w:styleId="1142">
    <w:name w:val="成文日期 Char"/>
    <w:next w:val="1142"/>
    <w:link w:val="1143"/>
    <w:rPr>
      <w:rFonts w:ascii="仿宋_GB2312" w:eastAsia="仿宋_GB2312"/>
      <w:sz w:val="32"/>
    </w:rPr>
  </w:style>
  <w:style w:type="paragraph" w:styleId="1143">
    <w:name w:val="成文日期"/>
    <w:basedOn w:val="1041"/>
    <w:next w:val="1143"/>
    <w:link w:val="1142"/>
    <w:qFormat/>
    <w:pPr>
      <w:ind w:right="400" w:firstLine="200"/>
      <w:jc w:val="right"/>
      <w:spacing w:line="570" w:lineRule="exact"/>
    </w:pPr>
    <w:rPr>
      <w:rFonts w:ascii="仿宋_GB2312" w:eastAsia="仿宋_GB2312"/>
      <w:sz w:val="32"/>
      <w:szCs w:val="20"/>
    </w:rPr>
  </w:style>
  <w:style w:type="character" w:styleId="1144">
    <w:name w:val="中等深浅网格 1 - 强调文字颜色 2 Char"/>
    <w:next w:val="1144"/>
    <w:link w:val="1145"/>
    <w:qFormat/>
    <w:rPr>
      <w:sz w:val="21"/>
      <w:szCs w:val="24"/>
      <w:lang w:val="zh-CN" w:eastAsia="zh-CN" w:bidi="ar-SA"/>
    </w:rPr>
  </w:style>
  <w:style w:type="paragraph" w:styleId="1145">
    <w:name w:val="1"/>
    <w:next w:val="1145"/>
    <w:link w:val="1144"/>
    <w:qFormat/>
    <w:rPr>
      <w:sz w:val="21"/>
      <w:szCs w:val="24"/>
      <w:lang w:val="zh-CN" w:eastAsia="zh-CN" w:bidi="ar-SA"/>
    </w:rPr>
  </w:style>
  <w:style w:type="character" w:styleId="1146">
    <w:name w:val="标题 3 Char Char"/>
    <w:next w:val="1146"/>
    <w:link w:val="1041"/>
    <w:qFormat/>
    <w:rPr>
      <w:rFonts w:eastAsia="宋体"/>
      <w:b/>
      <w:bCs/>
      <w:sz w:val="32"/>
      <w:szCs w:val="32"/>
      <w:lang w:val="en-US" w:eastAsia="zh-CN" w:bidi="ar-SA"/>
    </w:rPr>
  </w:style>
  <w:style w:type="character" w:styleId="1147">
    <w:name w:val="txt"/>
    <w:next w:val="1147"/>
    <w:link w:val="1041"/>
    <w:qFormat/>
  </w:style>
  <w:style w:type="character" w:styleId="1148">
    <w:name w:val="纯文本 字符"/>
    <w:next w:val="1148"/>
    <w:link w:val="1041"/>
    <w:uiPriority w:val="99"/>
    <w:qFormat/>
    <w:rPr>
      <w:rFonts w:ascii="宋体" w:hAnsi="Courier New" w:eastAsia="宋体" w:cs="Times New Roman"/>
      <w:sz w:val="21"/>
      <w:szCs w:val="21"/>
      <w:lang w:val="en-US" w:eastAsia="zh-CN" w:bidi="ar-SA"/>
    </w:rPr>
  </w:style>
  <w:style w:type="character" w:styleId="1149">
    <w:name w:val="正文大标题 Char"/>
    <w:next w:val="1149"/>
    <w:link w:val="1150"/>
    <w:qFormat/>
    <w:rPr>
      <w:rFonts w:ascii="宋体" w:hAnsi="宋体"/>
      <w:b/>
      <w:color w:val="000000"/>
      <w:sz w:val="28"/>
      <w:szCs w:val="21"/>
    </w:rPr>
  </w:style>
  <w:style w:type="paragraph" w:styleId="1150">
    <w:name w:val="正文大标题"/>
    <w:basedOn w:val="1151"/>
    <w:next w:val="1055"/>
    <w:link w:val="1149"/>
    <w:qFormat/>
    <w:pPr>
      <w:jc w:val="center"/>
    </w:pPr>
    <w:rPr>
      <w:i w:val="0"/>
      <w:color w:val="000000"/>
      <w:sz w:val="28"/>
      <w:szCs w:val="21"/>
    </w:rPr>
  </w:style>
  <w:style w:type="paragraph" w:styleId="1151">
    <w:name w:val="正文小标题"/>
    <w:basedOn w:val="1041"/>
    <w:next w:val="1055"/>
    <w:link w:val="1152"/>
    <w:qFormat/>
    <w:pPr>
      <w:ind w:firstLine="482"/>
      <w:jc w:val="left"/>
      <w:spacing w:before="312" w:after="312"/>
    </w:pPr>
    <w:rPr>
      <w:rFonts w:ascii="宋体" w:hAnsi="宋体"/>
      <w:b/>
      <w:i/>
      <w:color w:val="ff0000"/>
      <w:sz w:val="24"/>
      <w:szCs w:val="20"/>
    </w:rPr>
  </w:style>
  <w:style w:type="character" w:styleId="1152">
    <w:name w:val="正文小标题 Char"/>
    <w:next w:val="1152"/>
    <w:link w:val="1151"/>
    <w:qFormat/>
    <w:rPr>
      <w:rFonts w:ascii="宋体" w:hAnsi="宋体"/>
      <w:b/>
      <w:i/>
      <w:color w:val="ff0000"/>
      <w:sz w:val="24"/>
    </w:rPr>
  </w:style>
  <w:style w:type="character" w:styleId="1153">
    <w:name w:val="正文格式 Char"/>
    <w:next w:val="1153"/>
    <w:link w:val="1154"/>
    <w:qFormat/>
    <w:rPr>
      <w:rFonts w:ascii="宋体" w:hAnsi="宋体"/>
      <w:sz w:val="24"/>
      <w:szCs w:val="24"/>
      <w:lang w:val="en-GB"/>
    </w:rPr>
  </w:style>
  <w:style w:type="paragraph" w:styleId="1154">
    <w:name w:val="正文格式"/>
    <w:basedOn w:val="1041"/>
    <w:next w:val="1154"/>
    <w:link w:val="1153"/>
    <w:qFormat/>
    <w:pPr>
      <w:ind w:firstLine="480"/>
      <w:spacing w:line="360" w:lineRule="auto"/>
    </w:pPr>
    <w:rPr>
      <w:rFonts w:ascii="宋体" w:hAnsi="宋体"/>
      <w:sz w:val="24"/>
      <w:lang w:val="en-GB"/>
    </w:rPr>
  </w:style>
  <w:style w:type="character" w:styleId="1155">
    <w:name w:val="title4"/>
    <w:next w:val="1155"/>
    <w:link w:val="1041"/>
    <w:qFormat/>
    <w:rPr>
      <w:b/>
      <w:bCs/>
      <w:color w:val="1d87b3"/>
      <w:sz w:val="15"/>
      <w:szCs w:val="15"/>
    </w:rPr>
  </w:style>
  <w:style w:type="character" w:styleId="1156">
    <w:name w:val="列出段落 字符"/>
    <w:next w:val="1156"/>
    <w:link w:val="1157"/>
    <w:uiPriority w:val="34"/>
    <w:qFormat/>
    <w:rPr>
      <w:rFonts w:ascii="Calibri" w:hAnsi="Calibri" w:eastAsia="宋体"/>
      <w:sz w:val="21"/>
      <w:szCs w:val="22"/>
      <w:lang w:val="en-US" w:eastAsia="zh-CN" w:bidi="ar-SA"/>
    </w:rPr>
  </w:style>
  <w:style w:type="paragraph" w:styleId="1157">
    <w:name w:val="列出段落"/>
    <w:basedOn w:val="1041"/>
    <w:next w:val="1157"/>
    <w:link w:val="1156"/>
    <w:uiPriority w:val="34"/>
    <w:qFormat/>
    <w:pPr>
      <w:ind w:firstLine="420"/>
    </w:pPr>
    <w:rPr>
      <w:rFonts w:ascii="Calibri" w:hAnsi="Calibri"/>
      <w:szCs w:val="22"/>
    </w:rPr>
  </w:style>
  <w:style w:type="character" w:styleId="1158">
    <w:name w:val="批注文字 Char"/>
    <w:next w:val="1158"/>
    <w:link w:val="1041"/>
    <w:uiPriority w:val="99"/>
    <w:qFormat/>
    <w:rPr>
      <w:sz w:val="21"/>
      <w:szCs w:val="24"/>
    </w:rPr>
  </w:style>
  <w:style w:type="character" w:styleId="1159">
    <w:name w:val="chanpin拷贝"/>
    <w:next w:val="1159"/>
    <w:link w:val="1041"/>
    <w:qFormat/>
  </w:style>
  <w:style w:type="character" w:styleId="1160">
    <w:name w:val="普通文字1 Char1"/>
    <w:next w:val="1160"/>
    <w:link w:val="1041"/>
    <w:qFormat/>
    <w:rPr>
      <w:rFonts w:ascii="宋体" w:hAnsi="Courier New" w:eastAsia="宋体"/>
      <w:sz w:val="21"/>
      <w:lang w:val="en-US" w:eastAsia="zh-CN" w:bidi="ar-SA"/>
    </w:rPr>
  </w:style>
  <w:style w:type="character" w:styleId="1161">
    <w:name w:val="正文表格 Char"/>
    <w:next w:val="1161"/>
    <w:link w:val="1162"/>
    <w:qFormat/>
    <w:rPr>
      <w:rFonts w:ascii="宋体" w:hAnsi="宋体"/>
      <w:color w:val="000000"/>
      <w:sz w:val="21"/>
      <w:szCs w:val="21"/>
    </w:rPr>
  </w:style>
  <w:style w:type="paragraph" w:styleId="1162">
    <w:name w:val="正文表格"/>
    <w:basedOn w:val="1041"/>
    <w:next w:val="1162"/>
    <w:link w:val="1161"/>
    <w:qFormat/>
    <w:pPr>
      <w:jc w:val="left"/>
    </w:pPr>
    <w:rPr>
      <w:rFonts w:ascii="宋体" w:hAnsi="宋体"/>
      <w:color w:val="000000"/>
      <w:szCs w:val="21"/>
    </w:rPr>
  </w:style>
  <w:style w:type="character" w:styleId="1163">
    <w:name w:val="正文缩进 Char"/>
    <w:next w:val="1163"/>
    <w:link w:val="1041"/>
    <w:qFormat/>
    <w:rPr>
      <w:rFonts w:ascii="宋体" w:eastAsia="宋体"/>
      <w:sz w:val="24"/>
      <w:szCs w:val="24"/>
      <w:lang w:val="en-US" w:eastAsia="zh-CN" w:bidi="ar-SA"/>
    </w:rPr>
  </w:style>
  <w:style w:type="character" w:styleId="1164">
    <w:name w:val="页眉 Char"/>
    <w:next w:val="1164"/>
    <w:link w:val="1041"/>
    <w:qFormat/>
    <w:rPr>
      <w:rFonts w:eastAsia="宋体"/>
      <w:sz w:val="18"/>
      <w:szCs w:val="18"/>
      <w:lang w:val="en-US" w:eastAsia="zh-CN" w:bidi="ar-SA"/>
    </w:rPr>
  </w:style>
  <w:style w:type="character" w:styleId="1165">
    <w:name w:val="black1"/>
    <w:next w:val="1165"/>
    <w:link w:val="1041"/>
    <w:qFormat/>
    <w:rPr>
      <w:color w:val="000000"/>
    </w:rPr>
  </w:style>
  <w:style w:type="character" w:styleId="1166">
    <w:name w:val="正文文本缩进 Char"/>
    <w:next w:val="1166"/>
    <w:link w:val="1041"/>
    <w:qFormat/>
    <w:rPr>
      <w:rFonts w:eastAsia="宋体"/>
      <w:sz w:val="24"/>
      <w:szCs w:val="24"/>
      <w:lang w:val="en-US" w:eastAsia="zh-CN" w:bidi="ar-SA"/>
    </w:rPr>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41"/>
    <w:next w:val="1168"/>
    <w:link w:val="1167"/>
    <w:qFormat/>
    <w:pPr>
      <w:ind w:firstLine="480"/>
      <w:spacing w:line="480" w:lineRule="exact"/>
    </w:pPr>
    <w:rPr>
      <w:rFonts w:ascii="宋体" w:hAnsi="宋体"/>
      <w:sz w:val="24"/>
    </w:rPr>
  </w:style>
  <w:style w:type="character" w:styleId="1169">
    <w:name w:val="正文重点 Char"/>
    <w:next w:val="1169"/>
    <w:link w:val="1170"/>
    <w:qFormat/>
    <w:rPr>
      <w:b/>
      <w:sz w:val="24"/>
    </w:rPr>
  </w:style>
  <w:style w:type="paragraph" w:styleId="1170">
    <w:name w:val="正文重点"/>
    <w:basedOn w:val="1041"/>
    <w:next w:val="1170"/>
    <w:link w:val="1169"/>
    <w:qFormat/>
    <w:pPr>
      <w:ind w:firstLine="482"/>
      <w:jc w:val="left"/>
      <w:spacing w:line="360" w:lineRule="auto"/>
    </w:pPr>
    <w:rPr>
      <w:b/>
      <w:sz w:val="24"/>
      <w:szCs w:val="20"/>
    </w:rPr>
  </w:style>
  <w:style w:type="character" w:styleId="1171">
    <w:name w:val="标题 3 Char"/>
    <w:next w:val="1171"/>
    <w:link w:val="1041"/>
    <w:qFormat/>
    <w:rPr>
      <w:rFonts w:ascii="宋体" w:eastAsia="宋体"/>
      <w:b/>
      <w:sz w:val="24"/>
      <w:u w:val="single"/>
      <w:lang w:val="en-US" w:eastAsia="zh-CN" w:bidi="ar-SA"/>
    </w:rPr>
  </w:style>
  <w:style w:type="character" w:styleId="1172">
    <w:name w:val="Char Char111"/>
    <w:next w:val="1172"/>
    <w:link w:val="1041"/>
    <w:qFormat/>
    <w:rPr>
      <w:rFonts w:ascii="宋体" w:eastAsia="宋体"/>
      <w:b/>
      <w:sz w:val="24"/>
      <w:u w:val="single"/>
      <w:lang w:val="en-US" w:eastAsia="zh-CN" w:bidi="ar-SA"/>
    </w:rPr>
  </w:style>
  <w:style w:type="character" w:styleId="1173">
    <w:name w:val="bjh-p"/>
    <w:next w:val="1173"/>
    <w:link w:val="1041"/>
    <w:qFormat/>
  </w:style>
  <w:style w:type="paragraph" w:styleId="1174">
    <w:name w:val="xl36"/>
    <w:basedOn w:val="1041"/>
    <w:next w:val="1174"/>
    <w:link w:val="104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name w:val="font5"/>
    <w:basedOn w:val="1041"/>
    <w:next w:val="1175"/>
    <w:link w:val="1041"/>
    <w:qFormat/>
    <w:pPr>
      <w:jc w:val="left"/>
      <w:spacing w:before="100" w:beforeAutospacing="1" w:after="100" w:afterAutospacing="1"/>
      <w:widowControl/>
    </w:pPr>
    <w:rPr>
      <w:rFonts w:ascii="宋体" w:hAnsi="宋体" w:cs="宋体"/>
      <w:sz w:val="18"/>
      <w:szCs w:val="18"/>
    </w:rPr>
  </w:style>
  <w:style w:type="paragraph" w:styleId="1176">
    <w:name w:val="图中文字"/>
    <w:basedOn w:val="1041"/>
    <w:next w:val="1176"/>
    <w:link w:val="1041"/>
    <w:qFormat/>
    <w:pPr>
      <w:jc w:val="center"/>
      <w:spacing w:line="0" w:lineRule="atLeast"/>
    </w:pPr>
    <w:rPr>
      <w:sz w:val="24"/>
      <w:szCs w:val="20"/>
    </w:rPr>
  </w:style>
  <w:style w:type="paragraph" w:styleId="1177">
    <w:name w:val="1 Char Char Char Char"/>
    <w:basedOn w:val="1041"/>
    <w:next w:val="1177"/>
    <w:link w:val="1041"/>
    <w:qFormat/>
    <w:rPr>
      <w:rFonts w:ascii="Tahoma" w:hAnsi="Tahoma"/>
      <w:sz w:val="24"/>
      <w:szCs w:val="20"/>
    </w:rPr>
  </w:style>
  <w:style w:type="paragraph" w:styleId="1178">
    <w:name w:val="正文列项_字母"/>
    <w:basedOn w:val="1041"/>
    <w:next w:val="1178"/>
    <w:link w:val="1041"/>
    <w:qFormat/>
    <w:pPr>
      <w:numPr>
        <w:ilvl w:val="6"/>
        <w:numId w:val="1"/>
      </w:numPr>
      <w:ind w:left="480" w:hanging="180"/>
      <w:spacing w:line="460" w:lineRule="exact"/>
      <w:tabs>
        <w:tab w:val="clear" w:pos="635" w:leader="none"/>
      </w:tabs>
      <w:outlineLvl w:val="6"/>
    </w:pPr>
    <w:rPr>
      <w:rFonts w:ascii="宋体"/>
      <w:sz w:val="28"/>
      <w:szCs w:val="20"/>
    </w:rPr>
  </w:style>
  <w:style w:type="paragraph" w:styleId="1179">
    <w:name w:val="正文须知-2级"/>
    <w:basedOn w:val="1041"/>
    <w:next w:val="1179"/>
    <w:link w:val="1041"/>
    <w:qFormat/>
    <w:pPr>
      <w:numPr>
        <w:ilvl w:val="1"/>
        <w:numId w:val="2"/>
      </w:numPr>
      <w:spacing w:line="300" w:lineRule="auto"/>
    </w:pPr>
    <w:rPr>
      <w:rFonts w:ascii="宋体" w:hAnsi="Calibri"/>
      <w:sz w:val="24"/>
      <w:szCs w:val="21"/>
    </w:rPr>
  </w:style>
  <w:style w:type="paragraph" w:styleId="1180">
    <w:name w:val="Char1 Char Char Char1"/>
    <w:basedOn w:val="1041"/>
    <w:next w:val="1180"/>
    <w:link w:val="1041"/>
    <w:qFormat/>
    <w:rPr>
      <w:rFonts w:ascii="Tahoma" w:hAnsi="Tahoma" w:cs="仿宋_GB2312"/>
      <w:sz w:val="24"/>
      <w:szCs w:val="28"/>
    </w:rPr>
  </w:style>
  <w:style w:type="paragraph" w:styleId="1181">
    <w:name w:val="xl30"/>
    <w:basedOn w:val="1041"/>
    <w:next w:val="118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二级条标题"/>
    <w:basedOn w:val="1183"/>
    <w:next w:val="1041"/>
    <w:link w:val="1041"/>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41"/>
    <w:link w:val="1041"/>
    <w:qFormat/>
    <w:pPr>
      <w:numPr>
        <w:ilvl w:val="1"/>
      </w:numPr>
      <w:ind w:left="0" w:hanging="840"/>
      <w:tabs>
        <w:tab w:val="left" w:pos="360" w:leader="none"/>
        <w:tab w:val="left" w:pos="840" w:leader="none"/>
      </w:tabs>
      <w:outlineLvl w:val="1"/>
    </w:pPr>
  </w:style>
  <w:style w:type="paragraph" w:styleId="1184">
    <w:name w:val="章标题"/>
    <w:next w:val="1041"/>
    <w:link w:val="104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xl29"/>
    <w:basedOn w:val="1041"/>
    <w:next w:val="11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name w:val="正文文本样式"/>
    <w:basedOn w:val="1041"/>
    <w:next w:val="1186"/>
    <w:link w:val="1041"/>
    <w:qFormat/>
    <w:pPr>
      <w:ind w:firstLine="482"/>
      <w:spacing w:line="360" w:lineRule="auto"/>
    </w:pPr>
    <w:rPr>
      <w:rFonts w:cs="宋体"/>
      <w:sz w:val="24"/>
      <w:szCs w:val="20"/>
    </w:rPr>
  </w:style>
  <w:style w:type="paragraph" w:styleId="1187">
    <w:name w:val="Char2 Char Char Char Char Char Char"/>
    <w:basedOn w:val="1041"/>
    <w:next w:val="1187"/>
    <w:link w:val="1041"/>
    <w:qFormat/>
    <w:pPr>
      <w:jc w:val="center"/>
      <w:spacing w:line="400" w:lineRule="exact"/>
      <w:widowControl/>
    </w:pPr>
  </w:style>
  <w:style w:type="paragraph" w:styleId="1188">
    <w:name w:val="Char Char1 Char Char Char Char Char Char Char Char"/>
    <w:basedOn w:val="1041"/>
    <w:next w:val="1188"/>
    <w:link w:val="1041"/>
    <w:qFormat/>
    <w:pPr>
      <w:jc w:val="left"/>
      <w:spacing w:after="160" w:line="240" w:lineRule="exact"/>
      <w:widowControl/>
    </w:pPr>
    <w:rPr>
      <w:rFonts w:ascii="Verdana" w:hAnsi="Verdana"/>
      <w:sz w:val="20"/>
      <w:szCs w:val="20"/>
      <w:lang w:eastAsia="en-US"/>
    </w:rPr>
  </w:style>
  <w:style w:type="paragraph" w:styleId="1189">
    <w:name w:val="正文列项_数字"/>
    <w:basedOn w:val="1041"/>
    <w:next w:val="1189"/>
    <w:link w:val="1041"/>
    <w:qFormat/>
    <w:pPr>
      <w:numPr>
        <w:ilvl w:val="7"/>
        <w:numId w:val="1"/>
      </w:numPr>
      <w:ind w:left="680" w:hanging="150"/>
      <w:spacing w:line="460" w:lineRule="exact"/>
      <w:tabs>
        <w:tab w:val="clear" w:pos="860" w:leader="none"/>
      </w:tabs>
      <w:outlineLvl w:val="7"/>
    </w:pPr>
    <w:rPr>
      <w:rFonts w:ascii="宋体"/>
      <w:sz w:val="28"/>
      <w:szCs w:val="20"/>
    </w:rPr>
  </w:style>
  <w:style w:type="paragraph" w:styleId="1190">
    <w:name w:val="表格1"/>
    <w:basedOn w:val="1041"/>
    <w:next w:val="1190"/>
    <w:link w:val="1041"/>
    <w:qFormat/>
    <w:pPr>
      <w:ind w:firstLine="480"/>
      <w:jc w:val="center"/>
    </w:pPr>
    <w:rPr>
      <w:sz w:val="24"/>
      <w:szCs w:val="20"/>
    </w:rPr>
  </w:style>
  <w:style w:type="paragraph" w:styleId="1191">
    <w:name w:val="纯文本1"/>
    <w:next w:val="1191"/>
    <w:link w:val="1041"/>
    <w:qFormat/>
    <w:pPr>
      <w:jc w:val="both"/>
      <w:widowControl w:val="off"/>
    </w:pPr>
    <w:rPr>
      <w:rFonts w:ascii="宋体" w:hAnsi="宋体"/>
      <w:sz w:val="26"/>
      <w:lang w:val="en-US" w:eastAsia="zh-CN" w:bidi="ar-SA"/>
    </w:rPr>
  </w:style>
  <w:style w:type="paragraph" w:styleId="1192">
    <w:name w:val="xl23"/>
    <w:basedOn w:val="1041"/>
    <w:next w:val="1192"/>
    <w:link w:val="1041"/>
    <w:qFormat/>
    <w:pPr>
      <w:spacing w:before="100" w:beforeAutospacing="1" w:after="100" w:afterAutospacing="1" w:line="360" w:lineRule="auto"/>
      <w:widowControl/>
    </w:pPr>
    <w:rPr>
      <w:sz w:val="24"/>
      <w:szCs w:val="20"/>
    </w:rPr>
  </w:style>
  <w:style w:type="paragraph" w:styleId="1193">
    <w:name w:val="项目符号1"/>
    <w:basedOn w:val="1186"/>
    <w:next w:val="1193"/>
    <w:link w:val="1041"/>
    <w:qFormat/>
    <w:pPr>
      <w:ind w:left="-25" w:firstLine="0"/>
    </w:pPr>
  </w:style>
  <w:style w:type="paragraph" w:styleId="1194">
    <w:name w:val="正文 + 宋体"/>
    <w:basedOn w:val="1041"/>
    <w:next w:val="1194"/>
    <w:link w:val="1041"/>
    <w:qFormat/>
    <w:pPr>
      <w:ind w:left="360" w:hanging="360"/>
      <w:jc w:val="left"/>
      <w:widowControl/>
    </w:pPr>
    <w:rPr>
      <w:rFonts w:ascii="宋体" w:hAnsi="宋体" w:cs="宋体"/>
      <w:b/>
      <w:bCs/>
      <w:color w:val="000000"/>
      <w:sz w:val="18"/>
      <w:szCs w:val="18"/>
    </w:rPr>
  </w:style>
  <w:style w:type="paragraph" w:styleId="1195">
    <w:name w:val="xl52"/>
    <w:basedOn w:val="1041"/>
    <w:next w:val="1195"/>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name w:val="图文"/>
    <w:basedOn w:val="1041"/>
    <w:next w:val="1196"/>
    <w:link w:val="1041"/>
    <w:qFormat/>
    <w:pPr>
      <w:spacing w:after="50" w:line="360" w:lineRule="auto"/>
    </w:pPr>
    <w:rPr>
      <w:sz w:val="24"/>
    </w:rPr>
  </w:style>
  <w:style w:type="paragraph" w:styleId="1197">
    <w:name w:val="xl47"/>
    <w:basedOn w:val="1041"/>
    <w:next w:val="1197"/>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项目编号1"/>
    <w:basedOn w:val="1041"/>
    <w:next w:val="1198"/>
    <w:link w:val="1041"/>
    <w:qFormat/>
    <w:pPr>
      <w:numPr>
        <w:ilvl w:val="0"/>
        <w:numId w:val="3"/>
      </w:numPr>
      <w:spacing w:before="100" w:beforeAutospacing="1" w:after="100" w:afterAutospacing="1" w:line="360" w:lineRule="auto"/>
    </w:pPr>
    <w:rPr>
      <w:sz w:val="24"/>
    </w:rPr>
  </w:style>
  <w:style w:type="paragraph" w:styleId="1199">
    <w:name w:val="三级条标题"/>
    <w:basedOn w:val="1182"/>
    <w:next w:val="1041"/>
    <w:link w:val="1041"/>
    <w:qFormat/>
    <w:pPr>
      <w:numPr>
        <w:ilvl w:val="3"/>
        <w:numId w:val="1"/>
      </w:numPr>
      <w:ind w:left="0" w:hanging="840"/>
      <w:tabs>
        <w:tab w:val="left" w:pos="360" w:leader="none"/>
        <w:tab w:val="left" w:pos="840" w:leader="none"/>
      </w:tabs>
      <w:outlineLvl w:val="3"/>
    </w:pPr>
  </w:style>
  <w:style w:type="paragraph" w:styleId="1200">
    <w:name w:val="正文 A"/>
    <w:next w:val="1200"/>
    <w:link w:val="1041"/>
    <w:qFormat/>
    <w:pPr>
      <w:jc w:val="both"/>
      <w:widowControl w:val="off"/>
    </w:pPr>
    <w:rPr>
      <w:rFonts w:eastAsia="Times New Roman"/>
      <w:color w:val="000000"/>
      <w:sz w:val="21"/>
      <w:szCs w:val="21"/>
      <w:lang w:val="en-US" w:eastAsia="zh-CN" w:bidi="ar-SA"/>
    </w:rPr>
  </w:style>
  <w:style w:type="paragraph" w:styleId="1201">
    <w:name w:val="字元 字元1"/>
    <w:basedOn w:val="1041"/>
    <w:next w:val="1201"/>
    <w:link w:val="1041"/>
    <w:qFormat/>
    <w:rPr>
      <w:rFonts w:ascii="Tahoma" w:hAnsi="Tahoma"/>
      <w:sz w:val="24"/>
      <w:szCs w:val="20"/>
    </w:rPr>
  </w:style>
  <w:style w:type="paragraph" w:styleId="1202">
    <w:name w:val="Char3"/>
    <w:basedOn w:val="1041"/>
    <w:next w:val="1202"/>
    <w:link w:val="1041"/>
    <w:qFormat/>
    <w:pPr>
      <w:tabs>
        <w:tab w:val="left" w:pos="360" w:leader="none"/>
      </w:tabs>
    </w:pPr>
    <w:rPr>
      <w:sz w:val="24"/>
    </w:rPr>
  </w:style>
  <w:style w:type="paragraph" w:styleId="1203">
    <w:name w:val="xl43"/>
    <w:basedOn w:val="1041"/>
    <w:next w:val="1203"/>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xl50"/>
    <w:basedOn w:val="1041"/>
    <w:next w:val="120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Table Paragraph"/>
    <w:basedOn w:val="1041"/>
    <w:next w:val="1205"/>
    <w:link w:val="1041"/>
    <w:uiPriority w:val="1"/>
    <w:qFormat/>
    <w:pPr>
      <w:jc w:val="left"/>
    </w:pPr>
    <w:rPr>
      <w:rFonts w:ascii="宋体" w:hAnsi="宋体" w:cs="宋体"/>
      <w:sz w:val="22"/>
      <w:szCs w:val="22"/>
      <w:lang w:eastAsia="en-US"/>
    </w:rPr>
  </w:style>
  <w:style w:type="paragraph" w:styleId="1206">
    <w:name w:val="Char Char1"/>
    <w:basedOn w:val="1067"/>
    <w:next w:val="1206"/>
    <w:link w:val="1041"/>
    <w:qFormat/>
    <w:rPr>
      <w:rFonts w:ascii="Tahoma" w:hAnsi="Tahoma"/>
      <w:sz w:val="24"/>
    </w:rPr>
  </w:style>
  <w:style w:type="paragraph" w:styleId="1207">
    <w:name w:val="xl27"/>
    <w:basedOn w:val="1041"/>
    <w:next w:val="120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Char22"/>
    <w:basedOn w:val="1041"/>
    <w:next w:val="1208"/>
    <w:link w:val="1041"/>
    <w:qFormat/>
    <w:rPr>
      <w:rFonts w:ascii="Tahoma" w:hAnsi="Tahoma"/>
      <w:sz w:val="24"/>
      <w:szCs w:val="20"/>
    </w:rPr>
  </w:style>
  <w:style w:type="paragraph" w:styleId="1209">
    <w:name w:val="font9"/>
    <w:basedOn w:val="1041"/>
    <w:next w:val="1209"/>
    <w:link w:val="1041"/>
    <w:qFormat/>
    <w:pPr>
      <w:jc w:val="left"/>
      <w:spacing w:before="100" w:beforeAutospacing="1" w:after="100" w:afterAutospacing="1"/>
      <w:widowControl/>
    </w:pPr>
    <w:rPr>
      <w:rFonts w:hint="eastAsia" w:ascii="宋体" w:hAnsi="宋体" w:cs="Arial Unicode MS"/>
      <w:color w:val="000000"/>
      <w:sz w:val="20"/>
      <w:szCs w:val="20"/>
    </w:rPr>
  </w:style>
  <w:style w:type="paragraph" w:styleId="1210">
    <w:name w:val="xl25"/>
    <w:basedOn w:val="1041"/>
    <w:next w:val="121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Char2 Char Char Char Char Char Char1"/>
    <w:basedOn w:val="1041"/>
    <w:next w:val="1211"/>
    <w:link w:val="1041"/>
    <w:qFormat/>
    <w:pPr>
      <w:jc w:val="center"/>
      <w:spacing w:line="400" w:lineRule="exact"/>
      <w:widowControl/>
    </w:pPr>
  </w:style>
  <w:style w:type="paragraph" w:styleId="1212">
    <w:name w:val="Char Char Char Char Char Char Char Char Char Char1"/>
    <w:basedOn w:val="1041"/>
    <w:next w:val="1212"/>
    <w:link w:val="1041"/>
    <w:qFormat/>
    <w:rPr>
      <w:rFonts w:ascii="宋体" w:hAnsi="宋体" w:cs="Courier New"/>
      <w:sz w:val="32"/>
      <w:szCs w:val="32"/>
    </w:rPr>
  </w:style>
  <w:style w:type="paragraph" w:styleId="1213">
    <w:name w:val="Char Char Char1 Char"/>
    <w:basedOn w:val="1041"/>
    <w:next w:val="1213"/>
    <w:link w:val="1041"/>
    <w:qFormat/>
    <w:rPr>
      <w:rFonts w:ascii="Tahoma" w:hAnsi="Tahoma"/>
      <w:sz w:val="24"/>
      <w:szCs w:val="20"/>
    </w:rPr>
  </w:style>
  <w:style w:type="paragraph" w:styleId="1214">
    <w:name w:val="正文文本样式 加粗"/>
    <w:basedOn w:val="1186"/>
    <w:next w:val="1214"/>
    <w:link w:val="1041"/>
    <w:qFormat/>
    <w:rPr>
      <w:b/>
    </w:rPr>
  </w:style>
  <w:style w:type="paragraph" w:styleId="1215">
    <w:name w:val="xl33"/>
    <w:basedOn w:val="1041"/>
    <w:next w:val="1215"/>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xl39"/>
    <w:basedOn w:val="1041"/>
    <w:next w:val="1216"/>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name w:val="xl26"/>
    <w:basedOn w:val="1041"/>
    <w:next w:val="121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8">
    <w:name w:val="xl53"/>
    <w:basedOn w:val="1041"/>
    <w:next w:val="1218"/>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font8"/>
    <w:basedOn w:val="1041"/>
    <w:next w:val="1219"/>
    <w:link w:val="1041"/>
    <w:qFormat/>
    <w:pPr>
      <w:jc w:val="left"/>
      <w:spacing w:before="100" w:beforeAutospacing="1" w:after="100" w:afterAutospacing="1"/>
      <w:widowControl/>
    </w:pPr>
    <w:rPr>
      <w:sz w:val="36"/>
      <w:szCs w:val="36"/>
    </w:rPr>
  </w:style>
  <w:style w:type="paragraph" w:styleId="1220">
    <w:name w:val="xl38"/>
    <w:basedOn w:val="1041"/>
    <w:next w:val="122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Char Char1 Char Char Char Char Char Char"/>
    <w:basedOn w:val="1041"/>
    <w:next w:val="1221"/>
    <w:link w:val="1041"/>
    <w:qFormat/>
    <w:pPr>
      <w:jc w:val="left"/>
      <w:spacing w:after="160" w:line="240" w:lineRule="exact"/>
      <w:widowControl/>
    </w:pPr>
    <w:rPr>
      <w:rFonts w:ascii="Verdana" w:hAnsi="Verdana" w:eastAsia="仿宋_GB2312"/>
      <w:sz w:val="24"/>
      <w:szCs w:val="20"/>
      <w:lang w:eastAsia="en-US"/>
    </w:rPr>
  </w:style>
  <w:style w:type="paragraph" w:styleId="1222">
    <w:name w:val="22222222222222"/>
    <w:basedOn w:val="1041"/>
    <w:next w:val="1222"/>
    <w:link w:val="1041"/>
    <w:qFormat/>
    <w:pPr>
      <w:ind w:firstLine="480"/>
      <w:jc w:val="left"/>
      <w:spacing w:line="360" w:lineRule="auto"/>
      <w:widowControl/>
    </w:pPr>
    <w:rPr>
      <w:color w:val="ff0000"/>
      <w:sz w:val="24"/>
      <w:szCs w:val="20"/>
    </w:rPr>
  </w:style>
  <w:style w:type="paragraph" w:styleId="1223">
    <w:name w:val="四级条标题"/>
    <w:basedOn w:val="1199"/>
    <w:next w:val="1041"/>
    <w:link w:val="1041"/>
    <w:qFormat/>
    <w:pPr>
      <w:numPr>
        <w:ilvl w:val="4"/>
      </w:numPr>
      <w:ind w:left="0" w:hanging="840"/>
      <w:tabs>
        <w:tab w:val="left" w:pos="360" w:leader="none"/>
        <w:tab w:val="left" w:pos="840" w:leader="none"/>
      </w:tabs>
      <w:outlineLvl w:val="4"/>
    </w:pPr>
  </w:style>
  <w:style w:type="paragraph" w:styleId="1224">
    <w:name w:val="项目编号2"/>
    <w:basedOn w:val="1198"/>
    <w:next w:val="1224"/>
    <w:link w:val="1041"/>
    <w:qFormat/>
    <w:pPr>
      <w:numPr>
        <w:numId w:val="4"/>
      </w:numPr>
    </w:pPr>
  </w:style>
  <w:style w:type="paragraph" w:styleId="1225">
    <w:name w:val="Char"/>
    <w:basedOn w:val="1041"/>
    <w:next w:val="1225"/>
    <w:link w:val="1041"/>
    <w:qFormat/>
    <w:pPr>
      <w:tabs>
        <w:tab w:val="left" w:pos="360" w:leader="none"/>
      </w:tabs>
    </w:pPr>
    <w:rPr>
      <w:sz w:val="24"/>
    </w:rPr>
  </w:style>
  <w:style w:type="paragraph" w:styleId="1226">
    <w:name w:val="Char Char Char1 Char2"/>
    <w:basedOn w:val="1041"/>
    <w:next w:val="1226"/>
    <w:link w:val="1041"/>
    <w:qFormat/>
    <w:rPr>
      <w:rFonts w:ascii="Tahoma" w:hAnsi="Tahoma"/>
      <w:sz w:val="24"/>
      <w:szCs w:val="20"/>
    </w:rPr>
  </w:style>
  <w:style w:type="paragraph" w:styleId="1227">
    <w:name w:val="Char1"/>
    <w:basedOn w:val="1041"/>
    <w:next w:val="1227"/>
    <w:link w:val="1041"/>
    <w:qFormat/>
    <w:pPr>
      <w:tabs>
        <w:tab w:val="left" w:pos="360" w:leader="none"/>
      </w:tabs>
    </w:pPr>
    <w:rPr>
      <w:sz w:val="24"/>
    </w:rPr>
  </w:style>
  <w:style w:type="paragraph" w:styleId="1228">
    <w:name w:val="Char Char Char Char Char Char Char"/>
    <w:basedOn w:val="1041"/>
    <w:next w:val="1228"/>
    <w:link w:val="1041"/>
    <w:qFormat/>
    <w:pPr>
      <w:ind w:firstLine="200"/>
      <w:spacing w:line="360" w:lineRule="auto"/>
    </w:pPr>
    <w:rPr>
      <w:rFonts w:eastAsia="仿宋_GB2312"/>
      <w:sz w:val="24"/>
    </w:rPr>
  </w:style>
  <w:style w:type="paragraph" w:styleId="1229">
    <w:name w:val="Char Char Char Char Char Char Char Char Char Char Char Char Char Char Char Char1"/>
    <w:basedOn w:val="1041"/>
    <w:next w:val="1229"/>
    <w:link w:val="1041"/>
    <w:qFormat/>
    <w:pPr>
      <w:jc w:val="center"/>
      <w:spacing w:after="160" w:line="240" w:lineRule="exact"/>
      <w:widowControl/>
    </w:pPr>
    <w:rPr>
      <w:rFonts w:ascii="宋体" w:hAnsi="宋体"/>
      <w:b/>
      <w:sz w:val="30"/>
      <w:szCs w:val="30"/>
      <w:lang w:eastAsia="en-US"/>
    </w:rPr>
  </w:style>
  <w:style w:type="paragraph" w:styleId="1230">
    <w:name w:val="Char Char Char2"/>
    <w:basedOn w:val="1041"/>
    <w:next w:val="1230"/>
    <w:link w:val="1041"/>
    <w:qFormat/>
    <w:rPr>
      <w:rFonts w:ascii="Tahoma" w:hAnsi="Tahoma"/>
      <w:sz w:val="24"/>
      <w:szCs w:val="20"/>
    </w:rPr>
  </w:style>
  <w:style w:type="paragraph" w:styleId="1231">
    <w:name w:val="xl49"/>
    <w:basedOn w:val="1041"/>
    <w:next w:val="123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2">
    <w:name w:val="xl34"/>
    <w:basedOn w:val="1041"/>
    <w:next w:val="1232"/>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样式2"/>
    <w:basedOn w:val="1105"/>
    <w:next w:val="1233"/>
    <w:link w:val="1041"/>
    <w:qFormat/>
    <w:pPr>
      <w:jc w:val="center"/>
      <w:spacing w:line="360" w:lineRule="auto"/>
    </w:pPr>
    <w:rPr>
      <w:sz w:val="24"/>
    </w:rPr>
  </w:style>
  <w:style w:type="paragraph" w:styleId="1234">
    <w:name w:val="Default"/>
    <w:next w:val="1234"/>
    <w:link w:val="1041"/>
    <w:qFormat/>
    <w:pPr>
      <w:widowControl w:val="off"/>
    </w:pPr>
    <w:rPr>
      <w:rFonts w:ascii="Symbol" w:hAnsi="Symbol" w:cs="Symbol"/>
      <w:color w:val="000000"/>
      <w:sz w:val="24"/>
      <w:szCs w:val="24"/>
      <w:lang w:val="en-US" w:eastAsia="zh-CN" w:bidi="ar-SA"/>
    </w:rPr>
  </w:style>
  <w:style w:type="paragraph" w:styleId="1235">
    <w:name w:val="正文须知-1级"/>
    <w:basedOn w:val="1041"/>
    <w:next w:val="1041"/>
    <w:link w:val="1041"/>
    <w:qFormat/>
    <w:pPr>
      <w:numPr>
        <w:ilvl w:val="0"/>
        <w:numId w:val="2"/>
      </w:numPr>
      <w:spacing w:line="300" w:lineRule="auto"/>
    </w:pPr>
    <w:rPr>
      <w:rFonts w:ascii="宋体" w:hAnsi="Calibri"/>
      <w:sz w:val="24"/>
      <w:szCs w:val="21"/>
    </w:rPr>
  </w:style>
  <w:style w:type="paragraph" w:styleId="1236">
    <w:name w:val="xl41"/>
    <w:basedOn w:val="1041"/>
    <w:next w:val="1236"/>
    <w:link w:val="10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name w:val="font7"/>
    <w:basedOn w:val="1041"/>
    <w:next w:val="1237"/>
    <w:link w:val="1041"/>
    <w:qFormat/>
    <w:pPr>
      <w:jc w:val="left"/>
      <w:spacing w:before="100" w:beforeAutospacing="1" w:after="100" w:afterAutospacing="1"/>
      <w:widowControl/>
    </w:pPr>
    <w:rPr>
      <w:rFonts w:eastAsia="Arial Unicode MS"/>
      <w:b/>
      <w:bCs/>
      <w:color w:val="000000"/>
      <w:sz w:val="20"/>
      <w:szCs w:val="20"/>
    </w:rPr>
  </w:style>
  <w:style w:type="paragraph" w:styleId="1238">
    <w:name w:val="无间隔"/>
    <w:next w:val="1238"/>
    <w:link w:val="1041"/>
    <w:qFormat/>
    <w:pPr>
      <w:jc w:val="both"/>
      <w:widowControl w:val="off"/>
    </w:pPr>
    <w:rPr>
      <w:sz w:val="21"/>
      <w:szCs w:val="24"/>
      <w:lang w:val="en-US" w:eastAsia="zh-CN" w:bidi="ar-SA"/>
    </w:rPr>
  </w:style>
  <w:style w:type="paragraph" w:styleId="1239">
    <w:name w:val="_Style 160"/>
    <w:next w:val="1239"/>
    <w:link w:val="1041"/>
    <w:qFormat/>
    <w:rPr>
      <w:sz w:val="21"/>
      <w:szCs w:val="24"/>
      <w:lang w:val="en-US" w:eastAsia="zh-CN" w:bidi="ar-SA"/>
    </w:rPr>
  </w:style>
  <w:style w:type="paragraph" w:styleId="1240">
    <w:name w:val="xl31"/>
    <w:basedOn w:val="1041"/>
    <w:next w:val="1240"/>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Revision"/>
    <w:next w:val="1241"/>
    <w:link w:val="1041"/>
    <w:qFormat/>
    <w:rPr>
      <w:sz w:val="21"/>
      <w:szCs w:val="24"/>
      <w:lang w:val="en-US" w:eastAsia="zh-CN" w:bidi="ar-SA"/>
    </w:rPr>
  </w:style>
  <w:style w:type="paragraph" w:styleId="1242">
    <w:name w:val="xl46"/>
    <w:basedOn w:val="1041"/>
    <w:next w:val="1242"/>
    <w:link w:val="104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name w:val="xl42"/>
    <w:basedOn w:val="1041"/>
    <w:next w:val="1243"/>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4">
    <w:name w:val="Char Char Char Char Char Char Char Char Char Char"/>
    <w:basedOn w:val="1041"/>
    <w:next w:val="1244"/>
    <w:link w:val="1041"/>
    <w:qFormat/>
  </w:style>
  <w:style w:type="paragraph" w:styleId="1245">
    <w:name w:val="xl35"/>
    <w:basedOn w:val="1041"/>
    <w:next w:val="1245"/>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6">
    <w:name w:val="Char Char Char Char Char Char Char Char Char Char2"/>
    <w:basedOn w:val="1041"/>
    <w:next w:val="1246"/>
    <w:link w:val="1041"/>
    <w:qFormat/>
    <w:rPr>
      <w:rFonts w:ascii="宋体" w:hAnsi="宋体" w:cs="Courier New"/>
      <w:sz w:val="32"/>
      <w:szCs w:val="32"/>
    </w:rPr>
  </w:style>
  <w:style w:type="paragraph" w:styleId="1247">
    <w:name w:val="xl40"/>
    <w:basedOn w:val="1041"/>
    <w:next w:val="1247"/>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无标题条"/>
    <w:next w:val="1041"/>
    <w:link w:val="1041"/>
    <w:qFormat/>
    <w:pPr>
      <w:jc w:val="both"/>
    </w:pPr>
    <w:rPr>
      <w:sz w:val="21"/>
      <w:lang w:val="en-US" w:eastAsia="zh-CN" w:bidi="ar-SA"/>
    </w:rPr>
  </w:style>
  <w:style w:type="paragraph" w:styleId="1249">
    <w:name w:val="缺省文本"/>
    <w:basedOn w:val="1041"/>
    <w:next w:val="1249"/>
    <w:link w:val="1041"/>
    <w:qFormat/>
    <w:pPr>
      <w:jc w:val="left"/>
    </w:pPr>
    <w:rPr>
      <w:sz w:val="24"/>
    </w:rPr>
  </w:style>
  <w:style w:type="paragraph" w:styleId="1250">
    <w:name w:val="默认段落字体 Para Char Char Char Char"/>
    <w:basedOn w:val="1041"/>
    <w:next w:val="1250"/>
    <w:link w:val="1041"/>
    <w:qFormat/>
    <w:rPr>
      <w:rFonts w:ascii="Arial" w:hAnsi="Arial" w:cs="Arial"/>
      <w:szCs w:val="21"/>
    </w:rPr>
  </w:style>
  <w:style w:type="paragraph" w:styleId="1251">
    <w:name w:val="列出段落2"/>
    <w:basedOn w:val="1041"/>
    <w:next w:val="1251"/>
    <w:link w:val="1041"/>
    <w:qFormat/>
    <w:pPr>
      <w:ind w:firstLine="420"/>
    </w:pPr>
    <w:rPr>
      <w:rFonts w:ascii="Calibri" w:hAnsi="Calibri"/>
      <w:szCs w:val="22"/>
    </w:rPr>
  </w:style>
  <w:style w:type="paragraph" w:styleId="1252">
    <w:name w:val="Char Char Char1"/>
    <w:basedOn w:val="1041"/>
    <w:next w:val="1252"/>
    <w:link w:val="1041"/>
    <w:qFormat/>
    <w:rPr>
      <w:rFonts w:ascii="Tahoma" w:hAnsi="Tahoma"/>
      <w:sz w:val="24"/>
      <w:szCs w:val="20"/>
    </w:rPr>
  </w:style>
  <w:style w:type="paragraph" w:styleId="1253">
    <w:name w:val="Char21"/>
    <w:basedOn w:val="1041"/>
    <w:next w:val="1253"/>
    <w:link w:val="1041"/>
    <w:qFormat/>
    <w:rPr>
      <w:rFonts w:ascii="Tahoma" w:hAnsi="Tahoma"/>
      <w:sz w:val="24"/>
      <w:szCs w:val="20"/>
    </w:rPr>
  </w:style>
  <w:style w:type="paragraph" w:styleId="1254">
    <w:name w:val="五级条标题"/>
    <w:basedOn w:val="1223"/>
    <w:next w:val="1041"/>
    <w:link w:val="1041"/>
    <w:qFormat/>
    <w:pPr>
      <w:numPr>
        <w:ilvl w:val="5"/>
      </w:numPr>
      <w:ind w:left="0" w:hanging="840"/>
      <w:tabs>
        <w:tab w:val="left" w:pos="360" w:leader="none"/>
        <w:tab w:val="left" w:pos="840" w:leader="none"/>
      </w:tabs>
      <w:outlineLvl w:val="5"/>
    </w:pPr>
  </w:style>
  <w:style w:type="paragraph" w:styleId="1255">
    <w:name w:val="正文 + 楷体_GB2312"/>
    <w:basedOn w:val="1041"/>
    <w:next w:val="1255"/>
    <w:link w:val="1041"/>
    <w:qFormat/>
    <w:pPr>
      <w:jc w:val="left"/>
      <w:widowControl/>
    </w:pPr>
    <w:rPr>
      <w:rFonts w:ascii="楷体_GB2312" w:eastAsia="楷体_GB2312" w:cs="Arial"/>
      <w:sz w:val="24"/>
    </w:rPr>
  </w:style>
  <w:style w:type="paragraph" w:styleId="1256">
    <w:name w:val="xl37"/>
    <w:basedOn w:val="1041"/>
    <w:next w:val="1256"/>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name w:val="xl32"/>
    <w:basedOn w:val="1041"/>
    <w:next w:val="1257"/>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字元 字元2"/>
    <w:basedOn w:val="1041"/>
    <w:next w:val="1258"/>
    <w:link w:val="1041"/>
    <w:qFormat/>
    <w:rPr>
      <w:rFonts w:ascii="Tahoma" w:hAnsi="Tahoma"/>
      <w:sz w:val="24"/>
      <w:szCs w:val="20"/>
    </w:rPr>
  </w:style>
  <w:style w:type="paragraph" w:styleId="1259">
    <w:name w:val="样式 宋体 五号 行距: 单倍行距"/>
    <w:basedOn w:val="1041"/>
    <w:next w:val="1259"/>
    <w:link w:val="1041"/>
    <w:qFormat/>
    <w:pPr>
      <w:jc w:val="left"/>
    </w:pPr>
    <w:rPr>
      <w:rFonts w:ascii="宋体" w:hAnsi="宋体"/>
      <w:szCs w:val="20"/>
    </w:rPr>
  </w:style>
  <w:style w:type="paragraph" w:styleId="1260">
    <w:name w:val="列出段落1"/>
    <w:basedOn w:val="1123"/>
    <w:next w:val="1260"/>
    <w:link w:val="1041"/>
    <w:qFormat/>
    <w:pPr>
      <w:ind w:firstLine="420"/>
    </w:pPr>
    <w:rPr>
      <w:rFonts w:ascii="Calibri" w:hAnsi="Calibri"/>
      <w:szCs w:val="22"/>
    </w:rPr>
  </w:style>
  <w:style w:type="paragraph" w:styleId="1261">
    <w:name w:val="Char2"/>
    <w:basedOn w:val="1041"/>
    <w:next w:val="1261"/>
    <w:link w:val="1041"/>
    <w:qFormat/>
    <w:rPr>
      <w:rFonts w:ascii="Tahoma" w:hAnsi="Tahoma"/>
      <w:sz w:val="24"/>
      <w:szCs w:val="20"/>
    </w:rPr>
  </w:style>
  <w:style w:type="paragraph" w:styleId="1262">
    <w:name w:val="字元 字元"/>
    <w:basedOn w:val="1041"/>
    <w:next w:val="1262"/>
    <w:link w:val="1041"/>
    <w:qFormat/>
    <w:rPr>
      <w:rFonts w:ascii="Tahoma" w:hAnsi="Tahoma"/>
      <w:sz w:val="24"/>
      <w:szCs w:val="20"/>
    </w:rPr>
  </w:style>
  <w:style w:type="paragraph" w:styleId="1263">
    <w:name w:val="文档正文"/>
    <w:basedOn w:val="1041"/>
    <w:next w:val="1263"/>
    <w:link w:val="1041"/>
    <w:qFormat/>
    <w:pPr>
      <w:spacing w:before="120" w:after="120" w:line="180" w:lineRule="auto"/>
    </w:pPr>
    <w:rPr>
      <w:rFonts w:ascii="Arial" w:hAnsi="Arial"/>
      <w:szCs w:val="20"/>
    </w:rPr>
  </w:style>
  <w:style w:type="paragraph" w:styleId="1264">
    <w:name w:val="正文缩进2"/>
    <w:basedOn w:val="1041"/>
    <w:next w:val="1264"/>
    <w:link w:val="1041"/>
    <w:qFormat/>
    <w:pPr>
      <w:ind w:firstLine="567"/>
      <w:spacing w:line="480" w:lineRule="exact"/>
      <w:widowControl/>
    </w:pPr>
    <w:rPr>
      <w:rFonts w:ascii="宋体"/>
      <w:color w:val="000000"/>
      <w:sz w:val="28"/>
      <w:szCs w:val="20"/>
      <w:lang w:val="zh-CN" w:eastAsia="zh-CN"/>
    </w:rPr>
  </w:style>
  <w:style w:type="paragraph" w:styleId="1265">
    <w:name w:val="Char3 Char Char Char1"/>
    <w:basedOn w:val="1041"/>
    <w:next w:val="1265"/>
    <w:link w:val="1041"/>
    <w:qFormat/>
    <w:rPr>
      <w:rFonts w:ascii="Tahoma" w:hAnsi="Tahoma"/>
      <w:sz w:val="24"/>
      <w:szCs w:val="20"/>
    </w:rPr>
  </w:style>
  <w:style w:type="paragraph" w:styleId="1266">
    <w:name w:val="Char Char Char Char Char Char Char Char Char Char Char Char Char Char Char Char"/>
    <w:basedOn w:val="1041"/>
    <w:next w:val="1266"/>
    <w:link w:val="1041"/>
    <w:qFormat/>
    <w:pPr>
      <w:jc w:val="center"/>
      <w:spacing w:after="160" w:line="240" w:lineRule="exact"/>
      <w:widowControl/>
    </w:pPr>
    <w:rPr>
      <w:rFonts w:ascii="宋体" w:hAnsi="宋体"/>
      <w:b/>
      <w:sz w:val="30"/>
      <w:szCs w:val="30"/>
      <w:lang w:eastAsia="en-US"/>
    </w:rPr>
  </w:style>
  <w:style w:type="paragraph" w:styleId="1267">
    <w:name w:val="图例"/>
    <w:basedOn w:val="1041"/>
    <w:next w:val="1267"/>
    <w:link w:val="1041"/>
    <w:qFormat/>
    <w:pPr>
      <w:jc w:val="center"/>
      <w:spacing w:before="120" w:after="120" w:line="360" w:lineRule="auto"/>
    </w:pPr>
    <w:rPr>
      <w:rFonts w:eastAsia="仿宋_GB2312"/>
      <w:b/>
      <w:sz w:val="24"/>
      <w:szCs w:val="20"/>
    </w:rPr>
  </w:style>
  <w:style w:type="paragraph" w:styleId="1268">
    <w:name w:val="xl24"/>
    <w:basedOn w:val="1041"/>
    <w:next w:val="1268"/>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name w:val="font6"/>
    <w:basedOn w:val="1041"/>
    <w:next w:val="1269"/>
    <w:link w:val="1041"/>
    <w:qFormat/>
    <w:pPr>
      <w:jc w:val="left"/>
      <w:spacing w:before="100" w:beforeAutospacing="1" w:after="100" w:afterAutospacing="1"/>
      <w:widowControl/>
    </w:pPr>
    <w:rPr>
      <w:rFonts w:ascii="宋体" w:hAnsi="宋体" w:cs="宋体"/>
      <w:sz w:val="20"/>
      <w:szCs w:val="20"/>
    </w:rPr>
  </w:style>
  <w:style w:type="paragraph" w:styleId="1270">
    <w:name w:val="项目编号3"/>
    <w:basedOn w:val="1186"/>
    <w:next w:val="1270"/>
    <w:link w:val="1041"/>
    <w:qFormat/>
    <w:pPr>
      <w:numPr>
        <w:ilvl w:val="0"/>
        <w:numId w:val="5"/>
      </w:numPr>
    </w:pPr>
  </w:style>
  <w:style w:type="paragraph" w:styleId="1271">
    <w:name w:val="样式 标题 2 + 宋体 五号 行距: 单倍行距"/>
    <w:basedOn w:val="1043"/>
    <w:next w:val="1271"/>
    <w:link w:val="104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72">
    <w:name w:val="Char Char Char1 Char1"/>
    <w:basedOn w:val="1041"/>
    <w:next w:val="1272"/>
    <w:link w:val="1041"/>
    <w:qFormat/>
    <w:rPr>
      <w:rFonts w:ascii="Tahoma" w:hAnsi="Tahoma"/>
      <w:sz w:val="24"/>
      <w:szCs w:val="20"/>
    </w:rPr>
  </w:style>
  <w:style w:type="paragraph" w:styleId="1273">
    <w:name w:val="1名"/>
    <w:basedOn w:val="1041"/>
    <w:next w:val="1273"/>
    <w:link w:val="1041"/>
    <w:qFormat/>
    <w:pPr>
      <w:numPr>
        <w:ilvl w:val="0"/>
        <w:numId w:val="7"/>
      </w:numPr>
      <w:spacing w:before="120"/>
      <w:tabs>
        <w:tab w:val="left" w:pos="360" w:leader="none"/>
      </w:tabs>
    </w:pPr>
    <w:rPr>
      <w:rFonts w:ascii="宋体"/>
      <w:sz w:val="28"/>
      <w:szCs w:val="20"/>
    </w:rPr>
  </w:style>
  <w:style w:type="paragraph" w:styleId="1274">
    <w:name w:val="Default_0"/>
    <w:basedOn w:val="1041"/>
    <w:next w:val="1274"/>
    <w:link w:val="1041"/>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275">
    <w:name w:val="background1"/>
    <w:basedOn w:val="1041"/>
    <w:next w:val="1275"/>
    <w:link w:val="1041"/>
    <w:qFormat/>
    <w:pPr>
      <w:jc w:val="left"/>
      <w:spacing w:before="100" w:beforeAutospacing="1" w:after="100" w:afterAutospacing="1"/>
      <w:widowControl/>
    </w:pPr>
    <w:rPr>
      <w:rFonts w:ascii="宋体" w:hAnsi="宋体" w:cs="宋体"/>
      <w:sz w:val="24"/>
    </w:rPr>
  </w:style>
  <w:style w:type="paragraph" w:styleId="1276">
    <w:name w:val="Char Char Char Char Char Char Char2"/>
    <w:basedOn w:val="1041"/>
    <w:next w:val="1276"/>
    <w:link w:val="1041"/>
    <w:qFormat/>
    <w:pPr>
      <w:ind w:firstLine="200"/>
      <w:spacing w:line="360" w:lineRule="auto"/>
    </w:pPr>
    <w:rPr>
      <w:rFonts w:eastAsia="仿宋_GB2312"/>
      <w:sz w:val="24"/>
    </w:rPr>
  </w:style>
  <w:style w:type="paragraph" w:styleId="1277">
    <w:name w:val="Char3 Char Char Char"/>
    <w:basedOn w:val="1041"/>
    <w:next w:val="1277"/>
    <w:link w:val="1041"/>
    <w:qFormat/>
    <w:rPr>
      <w:rFonts w:ascii="Tahoma" w:hAnsi="Tahoma"/>
      <w:sz w:val="24"/>
      <w:szCs w:val="20"/>
    </w:rPr>
  </w:style>
  <w:style w:type="paragraph" w:styleId="1278">
    <w:name w:val="xl45"/>
    <w:basedOn w:val="1041"/>
    <w:next w:val="1278"/>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9">
    <w:name w:val="List Paragraph1"/>
    <w:basedOn w:val="1041"/>
    <w:next w:val="1279"/>
    <w:link w:val="1041"/>
    <w:qFormat/>
    <w:pPr>
      <w:ind w:firstLine="420"/>
    </w:pPr>
    <w:rPr>
      <w:rFonts w:ascii="Calibri" w:hAnsi="Calibri"/>
      <w:szCs w:val="22"/>
    </w:rPr>
  </w:style>
  <w:style w:type="paragraph" w:styleId="1280">
    <w:name w:val="xl44"/>
    <w:basedOn w:val="1041"/>
    <w:next w:val="1280"/>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1">
    <w:name w:val="xl51"/>
    <w:basedOn w:val="1041"/>
    <w:next w:val="1281"/>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name w:val="??"/>
    <w:next w:val="1282"/>
    <w:link w:val="1041"/>
    <w:qFormat/>
    <w:pPr>
      <w:jc w:val="both"/>
      <w:widowControl w:val="off"/>
    </w:pPr>
    <w:rPr>
      <w:sz w:val="21"/>
      <w:lang w:val="en-US" w:eastAsia="en-US" w:bidi="ar-SA"/>
    </w:rPr>
  </w:style>
  <w:style w:type="paragraph" w:styleId="1283">
    <w:name w:val="Char3 Char Char Char2"/>
    <w:basedOn w:val="1041"/>
    <w:next w:val="1283"/>
    <w:link w:val="1041"/>
    <w:qFormat/>
    <w:rPr>
      <w:rFonts w:ascii="Tahoma" w:hAnsi="Tahoma"/>
      <w:sz w:val="24"/>
      <w:szCs w:val="20"/>
    </w:rPr>
  </w:style>
  <w:style w:type="paragraph" w:styleId="1284">
    <w:name w:val="xl48"/>
    <w:basedOn w:val="1041"/>
    <w:next w:val="128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5">
    <w:name w:val="xl28"/>
    <w:basedOn w:val="1041"/>
    <w:next w:val="12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name w:val="正文须知-3级"/>
    <w:basedOn w:val="1041"/>
    <w:next w:val="1286"/>
    <w:link w:val="1041"/>
    <w:qFormat/>
    <w:pPr>
      <w:numPr>
        <w:ilvl w:val="2"/>
        <w:numId w:val="2"/>
      </w:numPr>
      <w:ind w:hanging="355"/>
      <w:spacing w:line="300" w:lineRule="auto"/>
    </w:pPr>
    <w:rPr>
      <w:rFonts w:ascii="宋体" w:hAnsi="Calibri"/>
      <w:sz w:val="24"/>
      <w:szCs w:val="21"/>
    </w:rPr>
  </w:style>
  <w:style w:type="paragraph" w:styleId="1287">
    <w:name w:val="Char Char1 Char Char Char Char Char Char1"/>
    <w:basedOn w:val="1041"/>
    <w:next w:val="1287"/>
    <w:link w:val="1041"/>
    <w:qFormat/>
    <w:pPr>
      <w:jc w:val="left"/>
      <w:spacing w:after="160" w:line="240" w:lineRule="exact"/>
      <w:widowControl/>
    </w:pPr>
    <w:rPr>
      <w:rFonts w:ascii="Verdana" w:hAnsi="Verdana" w:eastAsia="仿宋_GB2312"/>
      <w:sz w:val="24"/>
      <w:szCs w:val="20"/>
      <w:lang w:eastAsia="en-US"/>
    </w:rPr>
  </w:style>
  <w:style w:type="paragraph" w:styleId="1288">
    <w:name w:val="Char Char Char Char Char Char Char1"/>
    <w:basedOn w:val="1041"/>
    <w:next w:val="1288"/>
    <w:link w:val="1041"/>
    <w:qFormat/>
    <w:pPr>
      <w:ind w:firstLine="200"/>
      <w:spacing w:line="360" w:lineRule="auto"/>
    </w:pPr>
    <w:rPr>
      <w:rFonts w:eastAsia="仿宋_GB2312"/>
      <w:sz w:val="24"/>
    </w:rPr>
  </w:style>
  <w:style w:type="paragraph" w:styleId="1289">
    <w:name w:val="Char Char41"/>
    <w:basedOn w:val="1041"/>
    <w:next w:val="1289"/>
    <w:link w:val="1041"/>
    <w:qFormat/>
    <w:pPr>
      <w:jc w:val="center"/>
      <w:spacing w:line="400" w:lineRule="exact"/>
      <w:widowControl/>
    </w:pPr>
  </w:style>
  <w:style w:type="paragraph" w:styleId="1290">
    <w:name w:val="Char Char4"/>
    <w:basedOn w:val="1041"/>
    <w:next w:val="1290"/>
    <w:link w:val="1041"/>
    <w:qFormat/>
    <w:pPr>
      <w:jc w:val="center"/>
      <w:spacing w:line="400" w:lineRule="exact"/>
      <w:widowControl/>
    </w:pPr>
  </w:style>
  <w:style w:type="paragraph" w:styleId="1291">
    <w:name w:val="一、"/>
    <w:basedOn w:val="1041"/>
    <w:next w:val="1291"/>
    <w:link w:val="1041"/>
    <w:qFormat/>
    <w:pPr>
      <w:ind w:firstLine="640"/>
    </w:pPr>
    <w:rPr>
      <w:rFonts w:ascii="黑体" w:hAnsi="黑体" w:eastAsia="黑体"/>
      <w:szCs w:val="32"/>
    </w:rPr>
  </w:style>
  <w:style w:type="paragraph" w:styleId="1292">
    <w:name w:val="标题1-附件"/>
    <w:basedOn w:val="1042"/>
    <w:next w:val="1292"/>
    <w:link w:val="1041"/>
    <w:qFormat/>
    <w:pPr>
      <w:jc w:val="left"/>
    </w:pPr>
    <w:rPr>
      <w:sz w:val="24"/>
      <w:szCs w:val="24"/>
    </w:rPr>
  </w:style>
  <w:style w:type="paragraph" w:styleId="1293">
    <w:name w:val="表格文字"/>
    <w:basedOn w:val="1075"/>
    <w:next w:val="1293"/>
    <w:link w:val="1041"/>
    <w:qFormat/>
    <w:pPr>
      <w:ind w:firstLine="0"/>
      <w:spacing w:before="20" w:after="20" w:line="240" w:lineRule="auto"/>
    </w:pPr>
    <w:rPr>
      <w:rFonts w:ascii="Century Gothic" w:hAnsi="Century Gothic"/>
      <w:sz w:val="20"/>
      <w:szCs w:val="20"/>
    </w:rPr>
  </w:style>
  <w:style w:type="paragraph" w:styleId="1294">
    <w:name w:val="正文_2"/>
    <w:next w:val="1294"/>
    <w:link w:val="1041"/>
    <w:qFormat/>
    <w:pPr>
      <w:jc w:val="both"/>
      <w:widowControl w:val="off"/>
    </w:pPr>
    <w:rPr>
      <w:rFonts w:ascii="Calibri" w:hAnsi="Calibri"/>
      <w:sz w:val="21"/>
      <w:szCs w:val="22"/>
      <w:lang w:val="en-US" w:eastAsia="zh-CN" w:bidi="ar-SA"/>
    </w:rPr>
  </w:style>
  <w:style w:type="paragraph" w:styleId="1295">
    <w:name w:val="Char Char Char"/>
    <w:basedOn w:val="1041"/>
    <w:next w:val="1295"/>
    <w:link w:val="1041"/>
    <w:qFormat/>
    <w:rPr>
      <w:rFonts w:ascii="Tahoma" w:hAnsi="Tahoma"/>
      <w:sz w:val="24"/>
      <w:szCs w:val="20"/>
    </w:rPr>
  </w:style>
  <w:style w:type="paragraph" w:styleId="1296">
    <w:name w:val="default"/>
    <w:basedOn w:val="1041"/>
    <w:next w:val="1296"/>
    <w:link w:val="1041"/>
    <w:qFormat/>
    <w:pPr>
      <w:jc w:val="left"/>
      <w:spacing w:before="100" w:beforeAutospacing="1" w:after="100" w:afterAutospacing="1"/>
      <w:widowControl/>
    </w:pPr>
    <w:rPr>
      <w:rFonts w:ascii="宋体" w:hAnsi="宋体" w:cs="宋体"/>
      <w:sz w:val="24"/>
    </w:rPr>
  </w:style>
  <w:style w:type="paragraph" w:styleId="1297">
    <w:name w:val="List Paragraph"/>
    <w:basedOn w:val="1041"/>
    <w:next w:val="1297"/>
    <w:link w:val="1041"/>
    <w:qFormat/>
    <w:pPr>
      <w:ind w:firstLine="420"/>
    </w:pPr>
    <w:rPr>
      <w:rFonts w:ascii="Calibri" w:hAnsi="Calibri" w:cs="黑体"/>
      <w:szCs w:val="22"/>
    </w:rPr>
  </w:style>
  <w:style w:type="paragraph" w:styleId="1298">
    <w:name w:val="正文文本缩进2"/>
    <w:basedOn w:val="1041"/>
    <w:next w:val="1298"/>
    <w:link w:val="1041"/>
    <w:qFormat/>
    <w:pPr>
      <w:ind w:firstLine="480"/>
      <w:spacing w:line="480" w:lineRule="exact"/>
    </w:pPr>
    <w:rPr>
      <w:rFonts w:ascii="宋体" w:hAnsi="宋体"/>
      <w:sz w:val="24"/>
      <w:lang w:val="zh-CN" w:eastAsia="zh-CN"/>
    </w:rPr>
  </w:style>
  <w:style w:type="paragraph" w:styleId="1299">
    <w:name w:val="正文_1_0"/>
    <w:basedOn w:val="1041"/>
    <w:next w:val="1299"/>
    <w:link w:val="1041"/>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300">
    <w:name w:val="Table Normal"/>
    <w:next w:val="1300"/>
    <w:link w:val="1041"/>
    <w:uiPriority w:val="2"/>
    <w:semiHidden/>
    <w:qFormat/>
    <w:pPr>
      <w:widowControl w:val="off"/>
    </w:pPr>
    <w:rPr>
      <w:rFonts w:ascii="Calibri" w:hAnsi="Calibri"/>
      <w:sz w:val="22"/>
      <w:szCs w:val="22"/>
      <w:lang w:val="en-US" w:eastAsia="en-US" w:bidi="ar-SA"/>
    </w:rPr>
    <w:tblPr/>
  </w:style>
  <w:style w:type="character" w:styleId="1301">
    <w:name w:val="NormalCharacter1"/>
    <w:next w:val="1301"/>
    <w:link w:val="1041"/>
    <w:qFormat/>
    <w:rPr>
      <w:sz w:val="21"/>
      <w:szCs w:val="24"/>
      <w:lang w:val="en-US" w:eastAsia="zh-CN" w:bidi="ar-SA"/>
    </w:rPr>
  </w:style>
  <w:style w:type="paragraph" w:styleId="1302">
    <w:name w:val="null3"/>
    <w:next w:val="1302"/>
    <w:link w:val="1041"/>
    <w:qFormat/>
    <w:rPr>
      <w:rFonts w:hint="eastAsia" w:ascii="Calibri" w:hAnsi="Calibri"/>
      <w:lang w:val="en-US" w:eastAsia="zh-CN" w:bidi="ar-SA"/>
    </w:rPr>
  </w:style>
  <w:style w:type="paragraph" w:styleId="1303">
    <w:name w:val="_Style 3"/>
    <w:next w:val="1303"/>
    <w:link w:val="1041"/>
    <w:qFormat/>
    <w:pPr>
      <w:jc w:val="both"/>
      <w:widowControl w:val="off"/>
    </w:pPr>
    <w:rPr>
      <w:rFonts w:ascii="Calibri" w:hAnsi="Calibri"/>
      <w:sz w:val="21"/>
      <w:szCs w:val="22"/>
      <w:lang w:val="en-US" w:eastAsia="zh-CN" w:bidi="ar-SA"/>
    </w:rPr>
  </w:style>
  <w:style w:type="paragraph" w:styleId="1304">
    <w:name w:val="普通(网站)1"/>
    <w:basedOn w:val="1041"/>
    <w:next w:val="1304"/>
    <w:link w:val="1041"/>
    <w:uiPriority w:val="99"/>
    <w:unhideWhenUsed/>
    <w:qFormat/>
    <w:pPr>
      <w:jc w:val="left"/>
      <w:spacing w:before="100" w:beforeAutospacing="1" w:after="100" w:afterAutospacing="1"/>
      <w:widowControl/>
    </w:pPr>
    <w:rPr>
      <w:rFonts w:ascii="宋体" w:hAnsi="宋体" w:cs="宋体"/>
      <w:sz w:val="24"/>
    </w:rPr>
  </w:style>
  <w:style w:type="paragraph" w:styleId="1305">
    <w:name w:val="正文1"/>
    <w:basedOn w:val="1041"/>
    <w:next w:val="1041"/>
    <w:link w:val="1041"/>
    <w:qFormat/>
    <w:pPr>
      <w:ind w:left="420" w:firstLine="527"/>
      <w:spacing w:before="120" w:line="360" w:lineRule="auto"/>
    </w:pPr>
    <w:rPr>
      <w:rFonts w:ascii="宋体" w:hAnsi="宋体"/>
    </w:rPr>
  </w:style>
  <w:style w:type="character" w:styleId="1306">
    <w:name w:val="font31"/>
    <w:basedOn w:val="1051"/>
    <w:next w:val="1306"/>
    <w:link w:val="1041"/>
    <w:rPr>
      <w:rFonts w:hint="eastAsia" w:ascii="宋体" w:hAnsi="宋体" w:eastAsia="宋体" w:cs="宋体"/>
      <w:i w:val="0"/>
      <w:iCs w:val="0"/>
      <w:color w:val="000000"/>
      <w:sz w:val="21"/>
      <w:szCs w:val="21"/>
      <w:u w:val="none"/>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emf"/><Relationship Id="rId21"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张晓东</cp:lastModifiedBy>
  <cp:revision>6</cp:revision>
  <dcterms:created xsi:type="dcterms:W3CDTF">2026-05-14T06:20:00Z</dcterms:created>
  <dcterms:modified xsi:type="dcterms:W3CDTF">2026-06-01T02:53:05Z</dcterms:modified>
</cp:coreProperties>
</file>